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CDFA5" w14:textId="597F0B89" w:rsidR="0064777F" w:rsidRPr="000458AB" w:rsidRDefault="00D06973" w:rsidP="00D15BA3">
      <w:pPr>
        <w:pStyle w:val="Title"/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4777F" w:rsidRPr="000458AB">
        <w:rPr>
          <w:sz w:val="24"/>
          <w:szCs w:val="24"/>
        </w:rPr>
        <w:t>NOTĂ DE FUNDAMENTARE</w:t>
      </w:r>
    </w:p>
    <w:p w14:paraId="1CA3C7C8" w14:textId="77777777" w:rsidR="00983417" w:rsidRPr="000458AB" w:rsidRDefault="00983417" w:rsidP="00D15BA3">
      <w:pPr>
        <w:pStyle w:val="Title"/>
        <w:spacing w:after="120" w:line="240" w:lineRule="auto"/>
        <w:rPr>
          <w:sz w:val="24"/>
          <w:szCs w:val="24"/>
        </w:rPr>
      </w:pPr>
    </w:p>
    <w:p w14:paraId="0448C4F0" w14:textId="42589059" w:rsidR="00223491" w:rsidRPr="000458AB" w:rsidRDefault="00223491" w:rsidP="00D15BA3">
      <w:pPr>
        <w:pStyle w:val="Title"/>
        <w:spacing w:after="120" w:line="240" w:lineRule="auto"/>
        <w:rPr>
          <w:sz w:val="24"/>
          <w:szCs w:val="24"/>
        </w:rPr>
      </w:pPr>
      <w:r w:rsidRPr="000458AB">
        <w:rPr>
          <w:sz w:val="24"/>
          <w:szCs w:val="24"/>
        </w:rPr>
        <w:t>Secțiunea 1</w:t>
      </w:r>
    </w:p>
    <w:p w14:paraId="78C75447" w14:textId="76B7EDCC" w:rsidR="00223491" w:rsidRPr="000458AB" w:rsidRDefault="00223491" w:rsidP="00D15BA3">
      <w:pPr>
        <w:pStyle w:val="Title"/>
        <w:spacing w:after="120" w:line="240" w:lineRule="auto"/>
        <w:rPr>
          <w:sz w:val="24"/>
          <w:szCs w:val="24"/>
        </w:rPr>
      </w:pPr>
      <w:r w:rsidRPr="000458AB">
        <w:rPr>
          <w:sz w:val="24"/>
          <w:szCs w:val="24"/>
        </w:rPr>
        <w:t>Titlul proiectului de act normativ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520BE3" w:rsidRPr="000458AB" w14:paraId="117C71DD" w14:textId="77777777" w:rsidTr="00223491">
        <w:tc>
          <w:tcPr>
            <w:tcW w:w="10490" w:type="dxa"/>
          </w:tcPr>
          <w:p w14:paraId="5B56841B" w14:textId="34584524" w:rsidR="00CA5489" w:rsidRPr="000458AB" w:rsidRDefault="00CA5489" w:rsidP="000458AB">
            <w:pPr>
              <w:spacing w:after="120"/>
              <w:jc w:val="center"/>
              <w:rPr>
                <w:rFonts w:eastAsiaTheme="minorHAnsi"/>
                <w:b/>
                <w:lang w:eastAsia="ro-RO"/>
              </w:rPr>
            </w:pPr>
            <w:r w:rsidRPr="000458AB">
              <w:rPr>
                <w:rFonts w:eastAsiaTheme="minorHAnsi"/>
                <w:b/>
                <w:lang w:eastAsia="ro-RO"/>
              </w:rPr>
              <w:t>HOTĂRÂRE</w:t>
            </w:r>
          </w:p>
          <w:p w14:paraId="338F09EC" w14:textId="64814DF8" w:rsidR="00084688" w:rsidRPr="000458AB" w:rsidRDefault="002A721C" w:rsidP="000458AB">
            <w:pPr>
              <w:spacing w:after="120"/>
              <w:jc w:val="center"/>
              <w:rPr>
                <w:rFonts w:eastAsia="Verdana"/>
                <w:b/>
                <w:color w:val="000000" w:themeColor="text1"/>
                <w:highlight w:val="yellow"/>
                <w:lang w:eastAsia="ro-RO"/>
              </w:rPr>
            </w:pPr>
            <w:r w:rsidRPr="002A721C">
              <w:rPr>
                <w:rFonts w:eastAsiaTheme="minorHAnsi"/>
                <w:b/>
                <w:lang w:eastAsia="ro-RO"/>
              </w:rPr>
              <w:t xml:space="preserve">pentru modificarea Hotărârii Guvernului nr. 398/2015 pentru stabilirea cadrului instituţional de coordonare şi  gestionare a  fondurilor europene structurale și de investiții și pentru asigurarea continuității cadrului instituțional de coordonare și gestionare a instrumentelor structurale </w:t>
            </w:r>
            <w:r w:rsidR="00F6631B">
              <w:rPr>
                <w:rFonts w:eastAsiaTheme="minorHAnsi"/>
                <w:b/>
                <w:lang w:eastAsia="ro-RO"/>
              </w:rPr>
              <w:t xml:space="preserve">              </w:t>
            </w:r>
            <w:r w:rsidRPr="002A721C">
              <w:rPr>
                <w:rFonts w:eastAsiaTheme="minorHAnsi"/>
                <w:b/>
                <w:lang w:eastAsia="ro-RO"/>
              </w:rPr>
              <w:t>2007-2013</w:t>
            </w:r>
          </w:p>
        </w:tc>
      </w:tr>
    </w:tbl>
    <w:p w14:paraId="2CE089BE" w14:textId="7BDFBE6D" w:rsidR="00BC6BCA" w:rsidRPr="000458AB" w:rsidRDefault="00BC6BCA" w:rsidP="000458AB">
      <w:pPr>
        <w:spacing w:after="120"/>
        <w:rPr>
          <w:b/>
          <w:highlight w:val="yellow"/>
          <w:lang w:eastAsia="ro-RO"/>
        </w:rPr>
      </w:pPr>
    </w:p>
    <w:p w14:paraId="33C1CD30" w14:textId="4FAF6130" w:rsidR="00223491" w:rsidRPr="000458AB" w:rsidRDefault="00C5468F" w:rsidP="00D15BA3">
      <w:pPr>
        <w:spacing w:after="120"/>
        <w:jc w:val="center"/>
        <w:rPr>
          <w:b/>
          <w:lang w:eastAsia="ro-RO"/>
        </w:rPr>
      </w:pPr>
      <w:r w:rsidRPr="000458AB">
        <w:rPr>
          <w:b/>
          <w:lang w:eastAsia="ro-RO"/>
        </w:rPr>
        <w:t>Secțiunea</w:t>
      </w:r>
      <w:r w:rsidR="00670C79" w:rsidRPr="000458AB">
        <w:rPr>
          <w:b/>
          <w:lang w:eastAsia="ro-RO"/>
        </w:rPr>
        <w:t xml:space="preserve"> a 2-a</w:t>
      </w:r>
    </w:p>
    <w:p w14:paraId="23181ACA" w14:textId="16305F22" w:rsidR="00CB78C4" w:rsidRPr="000458AB" w:rsidRDefault="00670C79" w:rsidP="00D15BA3">
      <w:pPr>
        <w:spacing w:after="120"/>
        <w:jc w:val="center"/>
        <w:rPr>
          <w:b/>
          <w:lang w:eastAsia="ro-RO"/>
        </w:rPr>
      </w:pPr>
      <w:r w:rsidRPr="000458AB">
        <w:rPr>
          <w:b/>
          <w:lang w:eastAsia="ro-RO"/>
        </w:rPr>
        <w:t>Motivul emiterii actului normativ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223491" w:rsidRPr="000458AB" w14:paraId="47D7FD1D" w14:textId="77777777" w:rsidTr="000458AB">
        <w:trPr>
          <w:trHeight w:val="359"/>
        </w:trPr>
        <w:tc>
          <w:tcPr>
            <w:tcW w:w="10490" w:type="dxa"/>
          </w:tcPr>
          <w:p w14:paraId="334278EB" w14:textId="6D7969C7" w:rsidR="00742E10" w:rsidRPr="000458AB" w:rsidRDefault="00223491" w:rsidP="00FC5B64">
            <w:pPr>
              <w:autoSpaceDE w:val="0"/>
              <w:autoSpaceDN w:val="0"/>
              <w:adjustRightInd w:val="0"/>
              <w:spacing w:after="80"/>
              <w:jc w:val="both"/>
              <w:rPr>
                <w:rFonts w:eastAsiaTheme="minorHAnsi"/>
                <w:b/>
                <w:lang w:eastAsia="ro-RO"/>
              </w:rPr>
            </w:pPr>
            <w:r w:rsidRPr="000458AB">
              <w:rPr>
                <w:rFonts w:eastAsiaTheme="minorHAnsi"/>
                <w:b/>
                <w:lang w:eastAsia="ro-RO"/>
              </w:rPr>
              <w:t xml:space="preserve">2.1 Sursa proiectului de act normativ </w:t>
            </w:r>
          </w:p>
          <w:p w14:paraId="3FFA269C" w14:textId="3B90C9F8" w:rsidR="00E267E2" w:rsidRDefault="00E267E2" w:rsidP="00FC5B64">
            <w:pPr>
              <w:autoSpaceDE w:val="0"/>
              <w:autoSpaceDN w:val="0"/>
              <w:adjustRightInd w:val="0"/>
              <w:spacing w:after="80"/>
              <w:jc w:val="both"/>
              <w:rPr>
                <w:lang w:eastAsia="en-GB"/>
              </w:rPr>
            </w:pPr>
            <w:r>
              <w:rPr>
                <w:lang w:eastAsia="en-GB"/>
              </w:rPr>
              <w:t xml:space="preserve">La finalul anului 2022, a fost aprobată </w:t>
            </w:r>
            <w:r w:rsidR="00E303FF">
              <w:rPr>
                <w:lang w:eastAsia="en-GB"/>
              </w:rPr>
              <w:t>O</w:t>
            </w:r>
            <w:r>
              <w:rPr>
                <w:lang w:eastAsia="en-GB"/>
              </w:rPr>
              <w:t xml:space="preserve">rdonanța de </w:t>
            </w:r>
            <w:r w:rsidR="0083734C">
              <w:rPr>
                <w:lang w:eastAsia="en-GB"/>
              </w:rPr>
              <w:t>u</w:t>
            </w:r>
            <w:r>
              <w:rPr>
                <w:lang w:eastAsia="en-GB"/>
              </w:rPr>
              <w:t>rgență a Guvernului nr. 170/2022</w:t>
            </w:r>
            <w:r>
              <w:t xml:space="preserve"> </w:t>
            </w:r>
            <w:r w:rsidRPr="00E267E2">
              <w:rPr>
                <w:lang w:eastAsia="en-GB"/>
              </w:rPr>
              <w:t>privind aprobarea unor măsuri pentru consolidarea capacității administrative a Ministerului Investițiilor și Proiectelor Europene de gestionare a programelor operaționale pentru perioada de programare 2021—2027</w:t>
            </w:r>
            <w:r>
              <w:rPr>
                <w:lang w:eastAsia="en-GB"/>
              </w:rPr>
              <w:t xml:space="preserve">, care a generat modificări în gestionarea Programelor </w:t>
            </w:r>
            <w:r w:rsidR="0083734C">
              <w:rPr>
                <w:lang w:eastAsia="en-GB"/>
              </w:rPr>
              <w:t>o</w:t>
            </w:r>
            <w:r>
              <w:rPr>
                <w:lang w:eastAsia="en-GB"/>
              </w:rPr>
              <w:t xml:space="preserve">peraționale Regionale, Dezvoltarea Capacității Administrative și Capacitate Administrativă, fapt care implică actualizarea, pe cale de consecință, </w:t>
            </w:r>
            <w:r w:rsidR="00F6631B">
              <w:rPr>
                <w:lang w:eastAsia="en-GB"/>
              </w:rPr>
              <w:t xml:space="preserve">a </w:t>
            </w:r>
            <w:r>
              <w:rPr>
                <w:lang w:eastAsia="en-GB"/>
              </w:rPr>
              <w:t xml:space="preserve">actului normativ care reglementează cadrul </w:t>
            </w:r>
            <w:r w:rsidRPr="00E267E2">
              <w:rPr>
                <w:lang w:eastAsia="en-GB"/>
              </w:rPr>
              <w:t>instituţional de coordonare şi  gestionare a  fondurilor europene</w:t>
            </w:r>
            <w:r>
              <w:rPr>
                <w:lang w:eastAsia="en-GB"/>
              </w:rPr>
              <w:t xml:space="preserve"> aferent exercițiilor financiare 2007-2013 și 2014-2020.</w:t>
            </w:r>
          </w:p>
          <w:p w14:paraId="0A0C41DA" w14:textId="70A8CCD6" w:rsidR="00E303FF" w:rsidRDefault="00E303FF" w:rsidP="00FC5B64">
            <w:pPr>
              <w:autoSpaceDE w:val="0"/>
              <w:autoSpaceDN w:val="0"/>
              <w:adjustRightInd w:val="0"/>
              <w:spacing w:after="80"/>
              <w:jc w:val="both"/>
              <w:rPr>
                <w:lang w:eastAsia="en-GB"/>
              </w:rPr>
            </w:pPr>
            <w:r>
              <w:rPr>
                <w:lang w:eastAsia="en-GB"/>
              </w:rPr>
              <w:t xml:space="preserve">Conform prevederilor </w:t>
            </w:r>
            <w:r w:rsidR="0083734C">
              <w:rPr>
                <w:lang w:eastAsia="en-GB"/>
              </w:rPr>
              <w:t xml:space="preserve">alin. (2) al </w:t>
            </w:r>
            <w:r>
              <w:rPr>
                <w:lang w:eastAsia="en-GB"/>
              </w:rPr>
              <w:t>art</w:t>
            </w:r>
            <w:r w:rsidR="00C15DDA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8 </w:t>
            </w:r>
            <w:r w:rsidR="0083734C">
              <w:rPr>
                <w:lang w:eastAsia="en-GB"/>
              </w:rPr>
              <w:t>din</w:t>
            </w:r>
            <w:r>
              <w:rPr>
                <w:lang w:eastAsia="en-GB"/>
              </w:rPr>
              <w:t xml:space="preserve"> Ordonanța de </w:t>
            </w:r>
            <w:r w:rsidR="0083734C">
              <w:rPr>
                <w:lang w:eastAsia="en-GB"/>
              </w:rPr>
              <w:t>u</w:t>
            </w:r>
            <w:r>
              <w:rPr>
                <w:lang w:eastAsia="en-GB"/>
              </w:rPr>
              <w:t>rgență a Guvernului nr. 170/2022, î</w:t>
            </w:r>
            <w:r w:rsidRPr="00E303FF">
              <w:rPr>
                <w:lang w:eastAsia="en-GB"/>
              </w:rPr>
              <w:t>n termen de 60 de zile de la data intrării în vigoare a ordonanțe</w:t>
            </w:r>
            <w:r>
              <w:rPr>
                <w:lang w:eastAsia="en-GB"/>
              </w:rPr>
              <w:t>i</w:t>
            </w:r>
            <w:r w:rsidRPr="00E303FF">
              <w:rPr>
                <w:lang w:eastAsia="en-GB"/>
              </w:rPr>
              <w:t>, M</w:t>
            </w:r>
            <w:r>
              <w:rPr>
                <w:lang w:eastAsia="en-GB"/>
              </w:rPr>
              <w:t xml:space="preserve">inisterul </w:t>
            </w:r>
            <w:r w:rsidRPr="00E303FF">
              <w:rPr>
                <w:lang w:eastAsia="en-GB"/>
              </w:rPr>
              <w:t>I</w:t>
            </w:r>
            <w:r>
              <w:rPr>
                <w:lang w:eastAsia="en-GB"/>
              </w:rPr>
              <w:t xml:space="preserve">nvestițiilor și </w:t>
            </w:r>
            <w:r w:rsidRPr="00E303FF">
              <w:rPr>
                <w:lang w:eastAsia="en-GB"/>
              </w:rPr>
              <w:t>P</w:t>
            </w:r>
            <w:r>
              <w:rPr>
                <w:lang w:eastAsia="en-GB"/>
              </w:rPr>
              <w:t xml:space="preserve">roiectelor </w:t>
            </w:r>
            <w:r w:rsidRPr="00E303FF">
              <w:rPr>
                <w:lang w:eastAsia="en-GB"/>
              </w:rPr>
              <w:t>E</w:t>
            </w:r>
            <w:r>
              <w:rPr>
                <w:lang w:eastAsia="en-GB"/>
              </w:rPr>
              <w:t>uropene</w:t>
            </w:r>
            <w:r w:rsidRPr="00E303FF">
              <w:rPr>
                <w:lang w:eastAsia="en-GB"/>
              </w:rPr>
              <w:t xml:space="preserve"> </w:t>
            </w:r>
            <w:r w:rsidR="00C15DDA">
              <w:rPr>
                <w:lang w:eastAsia="en-GB"/>
              </w:rPr>
              <w:t xml:space="preserve">elaborează și </w:t>
            </w:r>
            <w:r w:rsidRPr="00E303FF">
              <w:rPr>
                <w:lang w:eastAsia="en-GB"/>
              </w:rPr>
              <w:t xml:space="preserve">propune Guvernului spre adoptare proiectul hotărârii Guvernului privind modificarea Hotărârii Guvernului nr. 398/2015 pentru stabilirea cadrului </w:t>
            </w:r>
            <w:r w:rsidR="00C15DDA" w:rsidRPr="00E303FF">
              <w:rPr>
                <w:lang w:eastAsia="en-GB"/>
              </w:rPr>
              <w:t>instituțional</w:t>
            </w:r>
            <w:r w:rsidRPr="00E303FF">
              <w:rPr>
                <w:lang w:eastAsia="en-GB"/>
              </w:rPr>
              <w:t xml:space="preserve"> de coordonare şi gestionare a fondurilor europene structurale şi de investiţii şi pentru asigurarea continuităţii cadrului instituţional de coordonare şi gestionare a instrumentelor structurale 2007 - 2013.</w:t>
            </w:r>
          </w:p>
          <w:p w14:paraId="202CF3D5" w14:textId="18259189" w:rsidR="009E3F6A" w:rsidRPr="000458AB" w:rsidRDefault="00223491" w:rsidP="00FC5B64">
            <w:pPr>
              <w:autoSpaceDE w:val="0"/>
              <w:autoSpaceDN w:val="0"/>
              <w:adjustRightInd w:val="0"/>
              <w:spacing w:after="80"/>
              <w:jc w:val="both"/>
              <w:rPr>
                <w:rFonts w:eastAsiaTheme="minorHAnsi"/>
                <w:b/>
                <w:lang w:eastAsia="ro-RO"/>
              </w:rPr>
            </w:pPr>
            <w:r w:rsidRPr="000458AB">
              <w:rPr>
                <w:rFonts w:eastAsiaTheme="minorHAnsi"/>
                <w:b/>
                <w:lang w:eastAsia="ro-RO"/>
              </w:rPr>
              <w:t>2.2 Descrierea situației actuale</w:t>
            </w:r>
          </w:p>
          <w:p w14:paraId="5208A7A0" w14:textId="19535D34" w:rsidR="004E5088" w:rsidRDefault="001B45BE" w:rsidP="00FC5B64">
            <w:pPr>
              <w:autoSpaceDE w:val="0"/>
              <w:autoSpaceDN w:val="0"/>
              <w:adjustRightInd w:val="0"/>
              <w:spacing w:after="80"/>
              <w:jc w:val="both"/>
              <w:rPr>
                <w:bCs/>
                <w:lang w:eastAsia="en-GB"/>
              </w:rPr>
            </w:pPr>
            <w:r w:rsidRPr="000458AB">
              <w:rPr>
                <w:bCs/>
                <w:lang w:eastAsia="en-GB"/>
              </w:rPr>
              <w:t xml:space="preserve">Prin </w:t>
            </w:r>
            <w:r w:rsidR="00E267E2" w:rsidRPr="00E267E2">
              <w:rPr>
                <w:bCs/>
                <w:lang w:eastAsia="en-GB"/>
              </w:rPr>
              <w:t>Hotărârea Guvernului</w:t>
            </w:r>
            <w:r w:rsidR="00E267E2">
              <w:rPr>
                <w:bCs/>
                <w:lang w:eastAsia="en-GB"/>
              </w:rPr>
              <w:t xml:space="preserve"> nr. 398/2015, au fost desemnate toate enti</w:t>
            </w:r>
            <w:r w:rsidR="004E5088">
              <w:rPr>
                <w:bCs/>
                <w:lang w:eastAsia="en-GB"/>
              </w:rPr>
              <w:t>t</w:t>
            </w:r>
            <w:r w:rsidR="00E267E2">
              <w:rPr>
                <w:bCs/>
                <w:lang w:eastAsia="en-GB"/>
              </w:rPr>
              <w:t xml:space="preserve">ățile implicate în sistemele de management și control ale programelor operaționale </w:t>
            </w:r>
            <w:r w:rsidR="00C15DDA">
              <w:rPr>
                <w:bCs/>
                <w:lang w:eastAsia="en-GB"/>
              </w:rPr>
              <w:t xml:space="preserve">aferente perioadelor de programare </w:t>
            </w:r>
            <w:r w:rsidR="00E267E2">
              <w:rPr>
                <w:bCs/>
                <w:lang w:eastAsia="en-GB"/>
              </w:rPr>
              <w:t xml:space="preserve">2007-2013 și </w:t>
            </w:r>
            <w:r w:rsidR="00F6631B">
              <w:rPr>
                <w:bCs/>
                <w:lang w:eastAsia="en-GB"/>
              </w:rPr>
              <w:t xml:space="preserve">          </w:t>
            </w:r>
            <w:r w:rsidR="00E267E2">
              <w:rPr>
                <w:bCs/>
                <w:lang w:eastAsia="en-GB"/>
              </w:rPr>
              <w:t>2014-2020, respectiv au fost stabilite</w:t>
            </w:r>
            <w:r w:rsidR="004E5088">
              <w:rPr>
                <w:bCs/>
                <w:lang w:eastAsia="en-GB"/>
              </w:rPr>
              <w:t xml:space="preserve"> entitățile cu rol de autoritate de management pentru acestea.</w:t>
            </w:r>
          </w:p>
          <w:p w14:paraId="62BC5F62" w14:textId="786C0698" w:rsidR="004E5088" w:rsidRDefault="004E5088" w:rsidP="00FC5B64">
            <w:pPr>
              <w:autoSpaceDE w:val="0"/>
              <w:autoSpaceDN w:val="0"/>
              <w:adjustRightInd w:val="0"/>
              <w:spacing w:after="80"/>
              <w:jc w:val="both"/>
              <w:rPr>
                <w:bCs/>
                <w:lang w:eastAsia="en-GB"/>
              </w:rPr>
            </w:pPr>
            <w:r>
              <w:rPr>
                <w:bCs/>
                <w:lang w:eastAsia="en-GB"/>
              </w:rPr>
              <w:t xml:space="preserve">Astfel, Ministerul Dezvoltării, Lucrărilor Publice și Administrației a fost nominalizat în calitate de autoritate de management pentru Programele </w:t>
            </w:r>
            <w:r w:rsidR="0083734C">
              <w:rPr>
                <w:bCs/>
                <w:lang w:eastAsia="en-GB"/>
              </w:rPr>
              <w:t>o</w:t>
            </w:r>
            <w:r>
              <w:rPr>
                <w:bCs/>
                <w:lang w:eastAsia="en-GB"/>
              </w:rPr>
              <w:t xml:space="preserve">peraționale Regionale 2007-2013 și 2014-2020, pentru Programul </w:t>
            </w:r>
            <w:r w:rsidR="0083734C">
              <w:rPr>
                <w:bCs/>
                <w:lang w:eastAsia="en-GB"/>
              </w:rPr>
              <w:t>o</w:t>
            </w:r>
            <w:r>
              <w:rPr>
                <w:bCs/>
                <w:lang w:eastAsia="en-GB"/>
              </w:rPr>
              <w:t xml:space="preserve">perațional </w:t>
            </w:r>
            <w:r w:rsidRPr="004E5088">
              <w:rPr>
                <w:bCs/>
                <w:lang w:eastAsia="en-GB"/>
              </w:rPr>
              <w:t xml:space="preserve">Dezvoltarea Capacității Administrative și Programul </w:t>
            </w:r>
            <w:r w:rsidR="0083734C">
              <w:rPr>
                <w:bCs/>
                <w:lang w:eastAsia="en-GB"/>
              </w:rPr>
              <w:t>o</w:t>
            </w:r>
            <w:r w:rsidRPr="004E5088">
              <w:rPr>
                <w:bCs/>
                <w:lang w:eastAsia="en-GB"/>
              </w:rPr>
              <w:t>perațional Capacitate Administrativă</w:t>
            </w:r>
            <w:r>
              <w:rPr>
                <w:bCs/>
                <w:lang w:eastAsia="en-GB"/>
              </w:rPr>
              <w:t>.</w:t>
            </w:r>
          </w:p>
          <w:p w14:paraId="5BB41DA1" w14:textId="2E2B56F4" w:rsidR="00707FC4" w:rsidRDefault="004E5088" w:rsidP="00FC5B64">
            <w:pPr>
              <w:autoSpaceDE w:val="0"/>
              <w:autoSpaceDN w:val="0"/>
              <w:adjustRightInd w:val="0"/>
              <w:spacing w:after="80"/>
              <w:jc w:val="both"/>
              <w:rPr>
                <w:bCs/>
                <w:lang w:eastAsia="en-GB"/>
              </w:rPr>
            </w:pPr>
            <w:r>
              <w:rPr>
                <w:bCs/>
                <w:lang w:eastAsia="en-GB"/>
              </w:rPr>
              <w:t xml:space="preserve">Luând în considerare arhitectura instituțională aprobată la nivel național pentru gestionarea programelor aferente cadrului financiar 2021-2027, prin HG nr. 936/2020 </w:t>
            </w:r>
            <w:r w:rsidRPr="00F6631B">
              <w:rPr>
                <w:bCs/>
                <w:i/>
                <w:iCs/>
                <w:lang w:eastAsia="en-GB"/>
              </w:rPr>
              <w:t>pentru aprobarea cadrului general necesar în vederea implicării autorităților și instituțiilor din România în procesul de programare și negociere a fondurilor externe nerambursabile aferente perioadei de programare 2021-2027 și a cadrului instituțional de coordonare, gestionare și control al acestor fonduri</w:t>
            </w:r>
            <w:r>
              <w:rPr>
                <w:bCs/>
                <w:i/>
                <w:iCs/>
                <w:lang w:eastAsia="en-GB"/>
              </w:rPr>
              <w:t xml:space="preserve">, </w:t>
            </w:r>
            <w:r w:rsidRPr="004E5088">
              <w:rPr>
                <w:bCs/>
                <w:lang w:eastAsia="en-GB"/>
              </w:rPr>
              <w:t xml:space="preserve">care </w:t>
            </w:r>
            <w:r>
              <w:rPr>
                <w:bCs/>
                <w:lang w:eastAsia="en-GB"/>
              </w:rPr>
              <w:t>nu mai atribuie M</w:t>
            </w:r>
            <w:r w:rsidR="00F6631B">
              <w:rPr>
                <w:bCs/>
                <w:lang w:eastAsia="en-GB"/>
              </w:rPr>
              <w:t xml:space="preserve">inisterului </w:t>
            </w:r>
            <w:r>
              <w:rPr>
                <w:bCs/>
                <w:lang w:eastAsia="en-GB"/>
              </w:rPr>
              <w:t>D</w:t>
            </w:r>
            <w:r w:rsidR="00F6631B">
              <w:rPr>
                <w:bCs/>
                <w:lang w:eastAsia="en-GB"/>
              </w:rPr>
              <w:t xml:space="preserve">ezvoltării, </w:t>
            </w:r>
            <w:r>
              <w:rPr>
                <w:bCs/>
                <w:lang w:eastAsia="en-GB"/>
              </w:rPr>
              <w:t>L</w:t>
            </w:r>
            <w:r w:rsidR="00F6631B">
              <w:rPr>
                <w:bCs/>
                <w:lang w:eastAsia="en-GB"/>
              </w:rPr>
              <w:t xml:space="preserve">ucrărilor </w:t>
            </w:r>
            <w:r>
              <w:rPr>
                <w:bCs/>
                <w:lang w:eastAsia="en-GB"/>
              </w:rPr>
              <w:t>P</w:t>
            </w:r>
            <w:r w:rsidR="00F6631B">
              <w:rPr>
                <w:bCs/>
                <w:lang w:eastAsia="en-GB"/>
              </w:rPr>
              <w:t xml:space="preserve">ublice și </w:t>
            </w:r>
            <w:r>
              <w:rPr>
                <w:bCs/>
                <w:lang w:eastAsia="en-GB"/>
              </w:rPr>
              <w:t>A</w:t>
            </w:r>
            <w:r w:rsidR="00F6631B">
              <w:rPr>
                <w:bCs/>
                <w:lang w:eastAsia="en-GB"/>
              </w:rPr>
              <w:t>dministrației</w:t>
            </w:r>
            <w:r>
              <w:rPr>
                <w:bCs/>
                <w:lang w:eastAsia="en-GB"/>
              </w:rPr>
              <w:t xml:space="preserve"> rolul de autoritate de management pentru niciunul din programele aferente politicii de coeziune, în anul 2022 a fost promovat actul normativ prin care sunt </w:t>
            </w:r>
            <w:r w:rsidRPr="004E5088">
              <w:rPr>
                <w:bCs/>
                <w:lang w:eastAsia="en-GB"/>
              </w:rPr>
              <w:t>prelua</w:t>
            </w:r>
            <w:r>
              <w:rPr>
                <w:bCs/>
                <w:lang w:eastAsia="en-GB"/>
              </w:rPr>
              <w:t>te de la acesta, în cadrul M</w:t>
            </w:r>
            <w:r w:rsidR="00F6631B">
              <w:rPr>
                <w:bCs/>
                <w:lang w:eastAsia="en-GB"/>
              </w:rPr>
              <w:t xml:space="preserve">inisterului </w:t>
            </w:r>
            <w:r>
              <w:rPr>
                <w:bCs/>
                <w:lang w:eastAsia="en-GB"/>
              </w:rPr>
              <w:t>I</w:t>
            </w:r>
            <w:r w:rsidR="00F6631B">
              <w:rPr>
                <w:bCs/>
                <w:lang w:eastAsia="en-GB"/>
              </w:rPr>
              <w:t xml:space="preserve">nvestițiilor și </w:t>
            </w:r>
            <w:r>
              <w:rPr>
                <w:bCs/>
                <w:lang w:eastAsia="en-GB"/>
              </w:rPr>
              <w:t>P</w:t>
            </w:r>
            <w:r w:rsidR="00F6631B">
              <w:rPr>
                <w:bCs/>
                <w:lang w:eastAsia="en-GB"/>
              </w:rPr>
              <w:t xml:space="preserve">roiectelor </w:t>
            </w:r>
            <w:r>
              <w:rPr>
                <w:bCs/>
                <w:lang w:eastAsia="en-GB"/>
              </w:rPr>
              <w:t>E</w:t>
            </w:r>
            <w:r w:rsidR="00F6631B">
              <w:rPr>
                <w:bCs/>
                <w:lang w:eastAsia="en-GB"/>
              </w:rPr>
              <w:t>uropene</w:t>
            </w:r>
            <w:r>
              <w:rPr>
                <w:bCs/>
                <w:lang w:eastAsia="en-GB"/>
              </w:rPr>
              <w:t xml:space="preserve">, </w:t>
            </w:r>
            <w:r w:rsidRPr="004E5088">
              <w:rPr>
                <w:bCs/>
                <w:lang w:eastAsia="en-GB"/>
              </w:rPr>
              <w:t>Direcți</w:t>
            </w:r>
            <w:r>
              <w:rPr>
                <w:bCs/>
                <w:lang w:eastAsia="en-GB"/>
              </w:rPr>
              <w:t>a</w:t>
            </w:r>
            <w:r w:rsidRPr="004E5088">
              <w:rPr>
                <w:bCs/>
                <w:lang w:eastAsia="en-GB"/>
              </w:rPr>
              <w:t xml:space="preserve"> general</w:t>
            </w:r>
            <w:r>
              <w:rPr>
                <w:bCs/>
                <w:lang w:eastAsia="en-GB"/>
              </w:rPr>
              <w:t>ă</w:t>
            </w:r>
            <w:r w:rsidRPr="004E5088">
              <w:rPr>
                <w:bCs/>
                <w:lang w:eastAsia="en-GB"/>
              </w:rPr>
              <w:t xml:space="preserve"> programe europene capacitate administrativă și Direcți</w:t>
            </w:r>
            <w:r>
              <w:rPr>
                <w:bCs/>
                <w:lang w:eastAsia="en-GB"/>
              </w:rPr>
              <w:t>a</w:t>
            </w:r>
            <w:r w:rsidRPr="004E5088">
              <w:rPr>
                <w:bCs/>
                <w:lang w:eastAsia="en-GB"/>
              </w:rPr>
              <w:t xml:space="preserve"> general</w:t>
            </w:r>
            <w:r>
              <w:rPr>
                <w:bCs/>
                <w:lang w:eastAsia="en-GB"/>
              </w:rPr>
              <w:t>ă</w:t>
            </w:r>
            <w:r w:rsidRPr="004E5088">
              <w:rPr>
                <w:bCs/>
                <w:lang w:eastAsia="en-GB"/>
              </w:rPr>
              <w:t xml:space="preserve"> Programul operațional regional, precum și activit</w:t>
            </w:r>
            <w:r>
              <w:rPr>
                <w:bCs/>
                <w:lang w:eastAsia="en-GB"/>
              </w:rPr>
              <w:t>atea</w:t>
            </w:r>
            <w:r w:rsidRPr="004E5088">
              <w:rPr>
                <w:bCs/>
                <w:lang w:eastAsia="en-GB"/>
              </w:rPr>
              <w:t>, structur</w:t>
            </w:r>
            <w:r>
              <w:rPr>
                <w:bCs/>
                <w:lang w:eastAsia="en-GB"/>
              </w:rPr>
              <w:t>a</w:t>
            </w:r>
            <w:r w:rsidRPr="004E5088">
              <w:rPr>
                <w:bCs/>
                <w:lang w:eastAsia="en-GB"/>
              </w:rPr>
              <w:t xml:space="preserve"> și personalul acestora</w:t>
            </w:r>
            <w:r>
              <w:rPr>
                <w:bCs/>
                <w:lang w:eastAsia="en-GB"/>
              </w:rPr>
              <w:t>.</w:t>
            </w:r>
          </w:p>
          <w:p w14:paraId="1F44B00B" w14:textId="51CF7855" w:rsidR="00FC5B64" w:rsidRDefault="00FC5B64" w:rsidP="00FC5B64">
            <w:pPr>
              <w:autoSpaceDE w:val="0"/>
              <w:autoSpaceDN w:val="0"/>
              <w:adjustRightInd w:val="0"/>
              <w:spacing w:after="80"/>
              <w:jc w:val="both"/>
              <w:rPr>
                <w:bCs/>
                <w:lang w:eastAsia="en-GB"/>
              </w:rPr>
            </w:pPr>
          </w:p>
          <w:p w14:paraId="3215F27B" w14:textId="77777777" w:rsidR="00FC5B64" w:rsidRPr="004E5088" w:rsidRDefault="00FC5B64" w:rsidP="00FC5B64">
            <w:pPr>
              <w:autoSpaceDE w:val="0"/>
              <w:autoSpaceDN w:val="0"/>
              <w:adjustRightInd w:val="0"/>
              <w:spacing w:after="80"/>
              <w:jc w:val="both"/>
              <w:rPr>
                <w:bCs/>
                <w:lang w:eastAsia="en-GB"/>
              </w:rPr>
            </w:pPr>
          </w:p>
          <w:p w14:paraId="4238D1EB" w14:textId="4264132F" w:rsidR="00223491" w:rsidRPr="000458AB" w:rsidRDefault="00223491" w:rsidP="00FC5B64">
            <w:pPr>
              <w:pStyle w:val="ListParagraph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80"/>
              <w:contextualSpacing w:val="0"/>
              <w:jc w:val="both"/>
              <w:rPr>
                <w:rFonts w:ascii="Times New Roman" w:hAnsi="Times New Roman" w:cs="Times New Roman"/>
                <w:b/>
                <w:lang w:eastAsia="ro-RO"/>
              </w:rPr>
            </w:pPr>
            <w:r w:rsidRPr="000458AB">
              <w:rPr>
                <w:rFonts w:ascii="Times New Roman" w:hAnsi="Times New Roman" w:cs="Times New Roman"/>
                <w:b/>
                <w:lang w:eastAsia="ro-RO"/>
              </w:rPr>
              <w:t>Schimbări preconizate</w:t>
            </w:r>
          </w:p>
          <w:p w14:paraId="49116112" w14:textId="608838EE" w:rsidR="00B63CAB" w:rsidRDefault="00B63CAB" w:rsidP="00FC5B64">
            <w:pPr>
              <w:spacing w:after="80"/>
              <w:jc w:val="both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color w:val="000000"/>
                <w:shd w:val="clear" w:color="auto" w:fill="FFFFFF"/>
              </w:rPr>
              <w:t xml:space="preserve">Prin aprobarea actului normativ, este avută în vedere </w:t>
            </w:r>
            <w:r w:rsidR="005B1F10">
              <w:rPr>
                <w:rFonts w:eastAsia="Calibri"/>
                <w:color w:val="000000"/>
                <w:shd w:val="clear" w:color="auto" w:fill="FFFFFF"/>
              </w:rPr>
              <w:t>aplicarea prevederilor alin.(2) al art. 8 din</w:t>
            </w:r>
            <w:r>
              <w:rPr>
                <w:rFonts w:eastAsia="Calibri"/>
                <w:color w:val="000000"/>
                <w:shd w:val="clear" w:color="auto" w:fill="FFFFFF"/>
              </w:rPr>
              <w:t xml:space="preserve"> O</w:t>
            </w:r>
            <w:r w:rsidR="005B1F10">
              <w:rPr>
                <w:rFonts w:eastAsia="Calibri"/>
                <w:color w:val="000000"/>
                <w:shd w:val="clear" w:color="auto" w:fill="FFFFFF"/>
              </w:rPr>
              <w:t xml:space="preserve">rdonanța de urgență a Guvernului </w:t>
            </w:r>
            <w:r>
              <w:rPr>
                <w:rFonts w:eastAsia="Calibri"/>
                <w:color w:val="000000"/>
                <w:shd w:val="clear" w:color="auto" w:fill="FFFFFF"/>
              </w:rPr>
              <w:t xml:space="preserve">nr. 170/2022. </w:t>
            </w:r>
          </w:p>
          <w:p w14:paraId="4D2234BD" w14:textId="50937D95" w:rsidR="00B63CAB" w:rsidRDefault="00B63CAB" w:rsidP="00FC5B64">
            <w:pPr>
              <w:spacing w:after="80"/>
              <w:jc w:val="both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color w:val="000000"/>
                <w:shd w:val="clear" w:color="auto" w:fill="FFFFFF"/>
              </w:rPr>
              <w:t xml:space="preserve">Astfel, este reglementat faptul că </w:t>
            </w:r>
            <w:r w:rsidR="00F6631B">
              <w:rPr>
                <w:rFonts w:eastAsia="Calibri"/>
                <w:color w:val="000000"/>
                <w:shd w:val="clear" w:color="auto" w:fill="FFFFFF"/>
              </w:rPr>
              <w:t>M</w:t>
            </w:r>
            <w:r w:rsidR="005B1F10">
              <w:rPr>
                <w:rFonts w:eastAsia="Calibri"/>
                <w:color w:val="000000"/>
                <w:shd w:val="clear" w:color="auto" w:fill="FFFFFF"/>
              </w:rPr>
              <w:t xml:space="preserve">inisterul </w:t>
            </w:r>
            <w:r w:rsidR="00F6631B">
              <w:rPr>
                <w:rFonts w:eastAsia="Calibri"/>
                <w:color w:val="000000"/>
                <w:shd w:val="clear" w:color="auto" w:fill="FFFFFF"/>
              </w:rPr>
              <w:t>I</w:t>
            </w:r>
            <w:r w:rsidR="005B1F10">
              <w:rPr>
                <w:rFonts w:eastAsia="Calibri"/>
                <w:color w:val="000000"/>
                <w:shd w:val="clear" w:color="auto" w:fill="FFFFFF"/>
              </w:rPr>
              <w:t xml:space="preserve">nvestițiilor și </w:t>
            </w:r>
            <w:r w:rsidR="00F6631B">
              <w:rPr>
                <w:rFonts w:eastAsia="Calibri"/>
                <w:color w:val="000000"/>
                <w:shd w:val="clear" w:color="auto" w:fill="FFFFFF"/>
              </w:rPr>
              <w:t>P</w:t>
            </w:r>
            <w:r w:rsidR="005B1F10">
              <w:rPr>
                <w:rFonts w:eastAsia="Calibri"/>
                <w:color w:val="000000"/>
                <w:shd w:val="clear" w:color="auto" w:fill="FFFFFF"/>
              </w:rPr>
              <w:t xml:space="preserve">roiectelor </w:t>
            </w:r>
            <w:r w:rsidR="00F6631B">
              <w:rPr>
                <w:rFonts w:eastAsia="Calibri"/>
                <w:color w:val="000000"/>
                <w:shd w:val="clear" w:color="auto" w:fill="FFFFFF"/>
              </w:rPr>
              <w:t>E</w:t>
            </w:r>
            <w:r w:rsidR="005B1F10">
              <w:rPr>
                <w:rFonts w:eastAsia="Calibri"/>
                <w:color w:val="000000"/>
                <w:shd w:val="clear" w:color="auto" w:fill="FFFFFF"/>
              </w:rPr>
              <w:t>uropene</w:t>
            </w:r>
            <w:r w:rsidRPr="00B63CAB">
              <w:rPr>
                <w:rFonts w:eastAsia="Calibri"/>
                <w:color w:val="000000"/>
                <w:shd w:val="clear" w:color="auto" w:fill="FFFFFF"/>
              </w:rPr>
              <w:t xml:space="preserve"> îndeplinește funcția de autoritate de management pentru Programul operațional „Dezvoltarea capacității administrative”, Programul operațional „Capacitate administrativă” și pentru Programul operațional regional, aferent perioadelor de programare 2007</w:t>
            </w:r>
            <w:r>
              <w:rPr>
                <w:rFonts w:eastAsia="Calibri"/>
                <w:color w:val="000000"/>
                <w:shd w:val="clear" w:color="auto" w:fill="FFFFFF"/>
              </w:rPr>
              <w:t>-</w:t>
            </w:r>
            <w:r w:rsidRPr="00B63CAB">
              <w:rPr>
                <w:rFonts w:eastAsia="Calibri"/>
                <w:color w:val="000000"/>
                <w:shd w:val="clear" w:color="auto" w:fill="FFFFFF"/>
              </w:rPr>
              <w:t>2013 și 2014</w:t>
            </w:r>
            <w:r>
              <w:rPr>
                <w:rFonts w:eastAsia="Calibri"/>
                <w:color w:val="000000"/>
                <w:shd w:val="clear" w:color="auto" w:fill="FFFFFF"/>
              </w:rPr>
              <w:t>-</w:t>
            </w:r>
            <w:r w:rsidRPr="00B63CAB">
              <w:rPr>
                <w:rFonts w:eastAsia="Calibri"/>
                <w:color w:val="000000"/>
                <w:shd w:val="clear" w:color="auto" w:fill="FFFFFF"/>
              </w:rPr>
              <w:t>2020</w:t>
            </w:r>
            <w:r>
              <w:rPr>
                <w:rFonts w:eastAsia="Calibri"/>
                <w:color w:val="000000"/>
                <w:shd w:val="clear" w:color="auto" w:fill="FFFFFF"/>
              </w:rPr>
              <w:t>.</w:t>
            </w:r>
          </w:p>
          <w:p w14:paraId="68C12583" w14:textId="202F0A67" w:rsidR="00B63CAB" w:rsidRDefault="00B63CAB" w:rsidP="00FC5B64">
            <w:pPr>
              <w:spacing w:after="80"/>
              <w:jc w:val="both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color w:val="000000"/>
                <w:shd w:val="clear" w:color="auto" w:fill="FFFFFF"/>
              </w:rPr>
              <w:t xml:space="preserve">În mod corelativ, este evidențiat că </w:t>
            </w:r>
            <w:r w:rsidR="00F6631B" w:rsidRPr="00F6631B">
              <w:rPr>
                <w:rFonts w:eastAsia="Calibri"/>
                <w:color w:val="000000"/>
                <w:shd w:val="clear" w:color="auto" w:fill="FFFFFF"/>
              </w:rPr>
              <w:t>Ministerul Dezvoltării, Lucrărilor Publice și Administrației</w:t>
            </w:r>
            <w:r>
              <w:rPr>
                <w:rFonts w:eastAsia="Calibri"/>
                <w:color w:val="000000"/>
                <w:shd w:val="clear" w:color="auto" w:fill="FFFFFF"/>
              </w:rPr>
              <w:t xml:space="preserve"> încetează să îndeplinească rolul de autoritate de management pentru programele anterior menționate, păstrând celelalte atribuții menționate în HG nr. 398/2015 care nu au fost modificate prin alte acte normative.</w:t>
            </w:r>
          </w:p>
          <w:p w14:paraId="2AB3B04E" w14:textId="7CB1BA8B" w:rsidR="00223491" w:rsidRPr="00FC5B64" w:rsidRDefault="00223491" w:rsidP="00FC5B64">
            <w:pPr>
              <w:autoSpaceDE w:val="0"/>
              <w:autoSpaceDN w:val="0"/>
              <w:adjustRightInd w:val="0"/>
              <w:spacing w:after="80"/>
              <w:jc w:val="both"/>
              <w:rPr>
                <w:rFonts w:eastAsiaTheme="minorHAnsi"/>
                <w:b/>
                <w:lang w:eastAsia="ro-RO"/>
              </w:rPr>
            </w:pPr>
            <w:r w:rsidRPr="00FC5B64">
              <w:rPr>
                <w:rFonts w:eastAsiaTheme="minorHAnsi"/>
                <w:b/>
                <w:lang w:eastAsia="ro-RO"/>
              </w:rPr>
              <w:t>2.4 Alte informații</w:t>
            </w:r>
            <w:r w:rsidR="0064777F" w:rsidRPr="00FC5B64">
              <w:rPr>
                <w:rFonts w:eastAsiaTheme="minorHAnsi"/>
                <w:b/>
                <w:lang w:eastAsia="ro-RO"/>
              </w:rPr>
              <w:t xml:space="preserve"> *)</w:t>
            </w:r>
          </w:p>
          <w:p w14:paraId="45862F79" w14:textId="144A2D94" w:rsidR="0053303E" w:rsidRPr="000458AB" w:rsidRDefault="00F97140" w:rsidP="00FC5B64">
            <w:pPr>
              <w:pStyle w:val="NormalWeb"/>
              <w:spacing w:before="0" w:beforeAutospacing="0" w:after="80" w:afterAutospacing="0"/>
              <w:jc w:val="both"/>
              <w:rPr>
                <w:rFonts w:eastAsiaTheme="minorHAnsi"/>
                <w:bCs/>
              </w:rPr>
            </w:pPr>
            <w:r w:rsidRPr="000458AB">
              <w:rPr>
                <w:rFonts w:eastAsiaTheme="minorHAnsi"/>
                <w:bCs/>
              </w:rPr>
              <w:t>Nu au fost identificate</w:t>
            </w:r>
          </w:p>
        </w:tc>
      </w:tr>
    </w:tbl>
    <w:p w14:paraId="6E6BADCF" w14:textId="77777777" w:rsidR="00186DF3" w:rsidRDefault="00186DF3" w:rsidP="00250216">
      <w:pPr>
        <w:spacing w:after="80"/>
        <w:jc w:val="center"/>
        <w:rPr>
          <w:b/>
        </w:rPr>
      </w:pPr>
    </w:p>
    <w:p w14:paraId="4794020D" w14:textId="33F7C36E" w:rsidR="00223491" w:rsidRPr="000458AB" w:rsidRDefault="003864F6" w:rsidP="00250216">
      <w:pPr>
        <w:spacing w:after="80"/>
        <w:jc w:val="center"/>
        <w:rPr>
          <w:b/>
        </w:rPr>
      </w:pPr>
      <w:r w:rsidRPr="000458AB">
        <w:rPr>
          <w:b/>
        </w:rPr>
        <w:t>Secțiunea</w:t>
      </w:r>
      <w:r w:rsidR="00670C79" w:rsidRPr="000458AB">
        <w:rPr>
          <w:b/>
        </w:rPr>
        <w:t xml:space="preserve"> a 3-a</w:t>
      </w:r>
    </w:p>
    <w:p w14:paraId="4E4A7A8E" w14:textId="485C7CAC" w:rsidR="00670C79" w:rsidRPr="000458AB" w:rsidRDefault="00670C79" w:rsidP="00250216">
      <w:pPr>
        <w:spacing w:after="80"/>
        <w:jc w:val="center"/>
        <w:rPr>
          <w:b/>
        </w:rPr>
      </w:pPr>
      <w:r w:rsidRPr="000458AB">
        <w:rPr>
          <w:b/>
        </w:rPr>
        <w:t xml:space="preserve">Impactul socioeconomic </w:t>
      </w:r>
      <w:r w:rsidR="0064777F" w:rsidRPr="000458AB">
        <w:rPr>
          <w:b/>
        </w:rPr>
        <w:t>**)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F72189" w:rsidRPr="000458AB" w14:paraId="4F7B7B5A" w14:textId="77777777" w:rsidTr="007C07B3">
        <w:tc>
          <w:tcPr>
            <w:tcW w:w="10533" w:type="dxa"/>
          </w:tcPr>
          <w:p w14:paraId="612A275C" w14:textId="41654247" w:rsidR="00F72189" w:rsidRPr="000458AB" w:rsidRDefault="00F72189" w:rsidP="00FC5B64">
            <w:pPr>
              <w:spacing w:after="60"/>
              <w:jc w:val="both"/>
              <w:rPr>
                <w:b/>
              </w:rPr>
            </w:pPr>
            <w:r w:rsidRPr="000458AB">
              <w:rPr>
                <w:b/>
              </w:rPr>
              <w:t>3.1 Descrierea generală a beneficiilor și costurilor estimate ca urmare a intrării în vigoare a actului normativ</w:t>
            </w:r>
          </w:p>
          <w:p w14:paraId="49537E0E" w14:textId="77777777" w:rsidR="004F068D" w:rsidRPr="000458AB" w:rsidRDefault="004F068D" w:rsidP="00FC5B64">
            <w:pPr>
              <w:spacing w:after="60"/>
              <w:jc w:val="both"/>
              <w:rPr>
                <w:rFonts w:eastAsiaTheme="minorEastAsia"/>
                <w:lang w:eastAsia="ro-RO"/>
              </w:rPr>
            </w:pPr>
            <w:r w:rsidRPr="000458AB">
              <w:rPr>
                <w:rFonts w:eastAsiaTheme="minorEastAsia"/>
                <w:lang w:eastAsia="ro-RO"/>
              </w:rPr>
              <w:t>Proiectul de act normativ nu se referă la acest subiect.</w:t>
            </w:r>
          </w:p>
          <w:p w14:paraId="190C27FD" w14:textId="14A06339" w:rsidR="00FB45DC" w:rsidRPr="000458AB" w:rsidRDefault="00F72189" w:rsidP="00FC5B64">
            <w:pPr>
              <w:spacing w:after="60"/>
              <w:jc w:val="both"/>
              <w:rPr>
                <w:b/>
              </w:rPr>
            </w:pPr>
            <w:r w:rsidRPr="000458AB">
              <w:rPr>
                <w:b/>
              </w:rPr>
              <w:t>3.2 Impactul social</w:t>
            </w:r>
          </w:p>
          <w:p w14:paraId="14D571C7" w14:textId="77777777" w:rsidR="004F068D" w:rsidRPr="000458AB" w:rsidRDefault="004F068D" w:rsidP="00FC5B64">
            <w:pPr>
              <w:spacing w:after="60"/>
              <w:jc w:val="both"/>
              <w:rPr>
                <w:rFonts w:eastAsiaTheme="minorEastAsia"/>
                <w:lang w:eastAsia="ro-RO"/>
              </w:rPr>
            </w:pPr>
            <w:r w:rsidRPr="000458AB">
              <w:rPr>
                <w:rFonts w:eastAsiaTheme="minorEastAsia"/>
                <w:lang w:eastAsia="ro-RO"/>
              </w:rPr>
              <w:t>Proiectul de act normativ nu se referă la acest subiect.</w:t>
            </w:r>
          </w:p>
          <w:p w14:paraId="49F54BE2" w14:textId="6B357F25" w:rsidR="00FB45DC" w:rsidRPr="000458AB" w:rsidRDefault="00F72189" w:rsidP="00FC5B64">
            <w:pPr>
              <w:spacing w:after="60"/>
              <w:jc w:val="both"/>
              <w:rPr>
                <w:bCs/>
                <w:color w:val="FF0000"/>
              </w:rPr>
            </w:pPr>
            <w:r w:rsidRPr="000458AB">
              <w:rPr>
                <w:b/>
              </w:rPr>
              <w:t xml:space="preserve">3.3. Impactul asupra drepturilor și libertăților fundamentale ale omului </w:t>
            </w:r>
            <w:r w:rsidR="00FB45DC" w:rsidRPr="000458AB">
              <w:rPr>
                <w:bCs/>
                <w:color w:val="FF0000"/>
              </w:rPr>
              <w:t>.</w:t>
            </w:r>
          </w:p>
          <w:p w14:paraId="5081FA1F" w14:textId="77777777" w:rsidR="004F068D" w:rsidRPr="000458AB" w:rsidRDefault="004F068D" w:rsidP="00FC5B64">
            <w:pPr>
              <w:spacing w:after="60"/>
              <w:jc w:val="both"/>
              <w:rPr>
                <w:rFonts w:eastAsiaTheme="minorEastAsia"/>
                <w:lang w:eastAsia="ro-RO"/>
              </w:rPr>
            </w:pPr>
            <w:r w:rsidRPr="000458AB">
              <w:rPr>
                <w:rFonts w:eastAsiaTheme="minorEastAsia"/>
                <w:lang w:eastAsia="ro-RO"/>
              </w:rPr>
              <w:t>Proiectul de act normativ nu se referă la acest subiect.</w:t>
            </w:r>
          </w:p>
          <w:p w14:paraId="139B6ECC" w14:textId="4CCE48EA" w:rsidR="00FB45DC" w:rsidRPr="000458AB" w:rsidRDefault="00FD3526" w:rsidP="00FC5B64">
            <w:pPr>
              <w:spacing w:after="60"/>
              <w:jc w:val="both"/>
              <w:rPr>
                <w:b/>
              </w:rPr>
            </w:pPr>
            <w:r w:rsidRPr="000458AB">
              <w:rPr>
                <w:b/>
              </w:rPr>
              <w:t>3.4. Impactul macroeconomic</w:t>
            </w:r>
          </w:p>
          <w:p w14:paraId="1B16924E" w14:textId="01A89835" w:rsidR="00FB45DC" w:rsidRPr="000458AB" w:rsidRDefault="00F72189" w:rsidP="00FC5B64">
            <w:pPr>
              <w:spacing w:after="60"/>
              <w:jc w:val="both"/>
              <w:rPr>
                <w:b/>
              </w:rPr>
            </w:pPr>
            <w:r w:rsidRPr="000458AB">
              <w:rPr>
                <w:b/>
              </w:rPr>
              <w:t>3.</w:t>
            </w:r>
            <w:r w:rsidR="00FD3526" w:rsidRPr="000458AB">
              <w:rPr>
                <w:b/>
              </w:rPr>
              <w:t>4</w:t>
            </w:r>
            <w:r w:rsidRPr="000458AB">
              <w:rPr>
                <w:b/>
              </w:rPr>
              <w:t xml:space="preserve">.1 Impactul asupra </w:t>
            </w:r>
            <w:r w:rsidR="00FD3526" w:rsidRPr="000458AB">
              <w:rPr>
                <w:b/>
              </w:rPr>
              <w:t xml:space="preserve">economiei și asupra </w:t>
            </w:r>
            <w:r w:rsidRPr="000458AB">
              <w:rPr>
                <w:b/>
              </w:rPr>
              <w:t>principalilor indicatori macroeconomici</w:t>
            </w:r>
          </w:p>
          <w:p w14:paraId="31EAC8D6" w14:textId="77777777" w:rsidR="008222DF" w:rsidRPr="000458AB" w:rsidRDefault="008222DF" w:rsidP="00FC5B64">
            <w:pPr>
              <w:spacing w:after="60"/>
              <w:jc w:val="both"/>
              <w:rPr>
                <w:rFonts w:eastAsiaTheme="minorEastAsia"/>
                <w:lang w:eastAsia="ro-RO"/>
              </w:rPr>
            </w:pPr>
            <w:r w:rsidRPr="000458AB">
              <w:rPr>
                <w:rFonts w:eastAsiaTheme="minorEastAsia"/>
                <w:lang w:eastAsia="ro-RO"/>
              </w:rPr>
              <w:t>Proiectul de act normativ nu se referă la acest subiect.</w:t>
            </w:r>
          </w:p>
          <w:p w14:paraId="18C98DD5" w14:textId="318BB39D" w:rsidR="00F72189" w:rsidRPr="000458AB" w:rsidRDefault="00F72189" w:rsidP="00FC5B64">
            <w:pPr>
              <w:spacing w:after="60"/>
              <w:jc w:val="both"/>
              <w:rPr>
                <w:b/>
              </w:rPr>
            </w:pPr>
            <w:r w:rsidRPr="000458AB">
              <w:rPr>
                <w:b/>
              </w:rPr>
              <w:t>3.</w:t>
            </w:r>
            <w:r w:rsidR="00FD3526" w:rsidRPr="000458AB">
              <w:rPr>
                <w:b/>
              </w:rPr>
              <w:t>4</w:t>
            </w:r>
            <w:r w:rsidRPr="000458AB">
              <w:rPr>
                <w:b/>
              </w:rPr>
              <w:t>.2 Impactul asupra mediului concurențial si domeniul</w:t>
            </w:r>
            <w:r w:rsidR="00FB45DC" w:rsidRPr="000458AB">
              <w:rPr>
                <w:b/>
              </w:rPr>
              <w:t>ui</w:t>
            </w:r>
            <w:r w:rsidRPr="000458AB">
              <w:rPr>
                <w:b/>
              </w:rPr>
              <w:t xml:space="preserve"> ajutoarelor de stat</w:t>
            </w:r>
          </w:p>
          <w:p w14:paraId="7466C82C" w14:textId="261A2930" w:rsidR="004F068D" w:rsidRPr="000458AB" w:rsidRDefault="004F068D" w:rsidP="00FC5B64">
            <w:pPr>
              <w:spacing w:after="60"/>
              <w:jc w:val="both"/>
              <w:rPr>
                <w:rFonts w:eastAsiaTheme="minorEastAsia"/>
                <w:lang w:eastAsia="ro-RO"/>
              </w:rPr>
            </w:pPr>
            <w:r w:rsidRPr="000458AB">
              <w:rPr>
                <w:rFonts w:eastAsiaTheme="minorEastAsia"/>
                <w:lang w:eastAsia="ro-RO"/>
              </w:rPr>
              <w:t>Prezentul act normativ nu se referă la acest subiect</w:t>
            </w:r>
          </w:p>
          <w:p w14:paraId="5D645A5F" w14:textId="285997E0" w:rsidR="00F72189" w:rsidRPr="000458AB" w:rsidRDefault="00F72189" w:rsidP="00FC5B64">
            <w:pPr>
              <w:spacing w:after="60"/>
              <w:jc w:val="both"/>
              <w:rPr>
                <w:b/>
              </w:rPr>
            </w:pPr>
            <w:r w:rsidRPr="000458AB">
              <w:rPr>
                <w:b/>
              </w:rPr>
              <w:t>3.</w:t>
            </w:r>
            <w:r w:rsidR="00FD3526" w:rsidRPr="000458AB">
              <w:rPr>
                <w:b/>
              </w:rPr>
              <w:t>5</w:t>
            </w:r>
            <w:r w:rsidRPr="000458AB">
              <w:rPr>
                <w:b/>
              </w:rPr>
              <w:t>. Impactul asupra mediului de afaceri</w:t>
            </w:r>
          </w:p>
          <w:p w14:paraId="102439EE" w14:textId="19120BBF" w:rsidR="004F068D" w:rsidRPr="000458AB" w:rsidRDefault="008222DF" w:rsidP="00FC5B64">
            <w:pPr>
              <w:spacing w:after="60"/>
              <w:jc w:val="both"/>
              <w:rPr>
                <w:rFonts w:eastAsiaTheme="minorEastAsia"/>
                <w:lang w:eastAsia="ro-RO"/>
              </w:rPr>
            </w:pPr>
            <w:r w:rsidRPr="000458AB">
              <w:rPr>
                <w:rFonts w:eastAsiaTheme="minorEastAsia"/>
                <w:lang w:eastAsia="ro-RO"/>
              </w:rPr>
              <w:t>Prezentul act normativ nu se referă la acest subiect</w:t>
            </w:r>
          </w:p>
          <w:p w14:paraId="6BA44179" w14:textId="50BB61E5" w:rsidR="00FD3526" w:rsidRPr="000458AB" w:rsidRDefault="00FD3526" w:rsidP="00FC5B64">
            <w:pPr>
              <w:spacing w:after="60"/>
              <w:jc w:val="both"/>
              <w:rPr>
                <w:b/>
              </w:rPr>
            </w:pPr>
            <w:r w:rsidRPr="000458AB">
              <w:rPr>
                <w:b/>
              </w:rPr>
              <w:t>3.6 Impactul asupra mediului înconjurător</w:t>
            </w:r>
          </w:p>
          <w:p w14:paraId="13603751" w14:textId="77777777" w:rsidR="00723488" w:rsidRPr="000458AB" w:rsidRDefault="00723488" w:rsidP="00FC5B64">
            <w:pPr>
              <w:spacing w:after="60"/>
              <w:jc w:val="both"/>
              <w:rPr>
                <w:rFonts w:eastAsiaTheme="minorEastAsia"/>
                <w:lang w:eastAsia="ro-RO"/>
              </w:rPr>
            </w:pPr>
            <w:r w:rsidRPr="000458AB">
              <w:rPr>
                <w:rFonts w:eastAsiaTheme="minorEastAsia"/>
                <w:lang w:eastAsia="ro-RO"/>
              </w:rPr>
              <w:t>Prezentul act normativ nu se referă la acest subiect</w:t>
            </w:r>
          </w:p>
          <w:p w14:paraId="55CFDA7E" w14:textId="6D36CE3A" w:rsidR="00FD3526" w:rsidRPr="000458AB" w:rsidRDefault="00FD3526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3.7. Evaluarea costurilor și beneficiilor din perspectiva inovării și digitalizării</w:t>
            </w:r>
          </w:p>
          <w:p w14:paraId="11B5A1AE" w14:textId="77777777" w:rsidR="00723488" w:rsidRPr="000458AB" w:rsidRDefault="00723488" w:rsidP="00FC5B64">
            <w:pPr>
              <w:spacing w:after="60"/>
              <w:jc w:val="both"/>
              <w:rPr>
                <w:rFonts w:eastAsiaTheme="minorEastAsia"/>
                <w:lang w:eastAsia="ro-RO"/>
              </w:rPr>
            </w:pPr>
            <w:r w:rsidRPr="000458AB">
              <w:rPr>
                <w:rFonts w:eastAsiaTheme="minorEastAsia"/>
                <w:lang w:eastAsia="ro-RO"/>
              </w:rPr>
              <w:t>Prezentul act normativ nu se referă la acest subiect</w:t>
            </w:r>
          </w:p>
          <w:p w14:paraId="2ABFD9F1" w14:textId="0008530D" w:rsidR="00FF587A" w:rsidRPr="000458AB" w:rsidRDefault="00FD3526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3.8 Evaluarea costurilor și beneficiilor din perspectiva dezvoltării durabile</w:t>
            </w:r>
          </w:p>
          <w:p w14:paraId="34FD6DA6" w14:textId="77777777" w:rsidR="00723488" w:rsidRPr="000458AB" w:rsidRDefault="00723488" w:rsidP="00FC5B64">
            <w:pPr>
              <w:spacing w:after="60"/>
              <w:jc w:val="both"/>
              <w:rPr>
                <w:rFonts w:eastAsiaTheme="minorEastAsia"/>
                <w:lang w:eastAsia="ro-RO"/>
              </w:rPr>
            </w:pPr>
            <w:r w:rsidRPr="000458AB">
              <w:rPr>
                <w:rFonts w:eastAsiaTheme="minorEastAsia"/>
                <w:lang w:eastAsia="ro-RO"/>
              </w:rPr>
              <w:t>Prezentul act normativ nu se referă la acest subiect</w:t>
            </w:r>
          </w:p>
          <w:p w14:paraId="084ABB04" w14:textId="77777777" w:rsidR="00FD3526" w:rsidRPr="000458AB" w:rsidRDefault="00FD3526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3.9. Alte informații</w:t>
            </w:r>
          </w:p>
          <w:p w14:paraId="041FB550" w14:textId="35F548BE" w:rsidR="00723488" w:rsidRPr="000458AB" w:rsidRDefault="00723488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rFonts w:eastAsiaTheme="minorEastAsia"/>
                <w:lang w:eastAsia="ro-RO"/>
              </w:rPr>
              <w:t>Nu au fost identificate</w:t>
            </w:r>
          </w:p>
        </w:tc>
      </w:tr>
    </w:tbl>
    <w:p w14:paraId="0E5A3984" w14:textId="77777777" w:rsidR="00FC5B64" w:rsidRDefault="00FC5B64" w:rsidP="00F6631B">
      <w:pPr>
        <w:spacing w:after="80"/>
        <w:rPr>
          <w:b/>
        </w:rPr>
      </w:pPr>
    </w:p>
    <w:p w14:paraId="37D804F0" w14:textId="77777777" w:rsidR="00F6631B" w:rsidRDefault="00F6631B" w:rsidP="00250216">
      <w:pPr>
        <w:spacing w:after="80"/>
        <w:jc w:val="center"/>
        <w:rPr>
          <w:b/>
        </w:rPr>
      </w:pPr>
    </w:p>
    <w:p w14:paraId="08CF6132" w14:textId="77777777" w:rsidR="00F6631B" w:rsidRDefault="00F6631B" w:rsidP="00250216">
      <w:pPr>
        <w:spacing w:after="80"/>
        <w:jc w:val="center"/>
        <w:rPr>
          <w:b/>
        </w:rPr>
      </w:pPr>
    </w:p>
    <w:p w14:paraId="54BE606C" w14:textId="77777777" w:rsidR="00F6631B" w:rsidRDefault="00F6631B" w:rsidP="00250216">
      <w:pPr>
        <w:spacing w:after="80"/>
        <w:jc w:val="center"/>
        <w:rPr>
          <w:b/>
        </w:rPr>
      </w:pPr>
    </w:p>
    <w:p w14:paraId="20A2BC5C" w14:textId="16D06BA5" w:rsidR="005A13C5" w:rsidRPr="000458AB" w:rsidRDefault="00214287" w:rsidP="00250216">
      <w:pPr>
        <w:spacing w:after="80"/>
        <w:jc w:val="center"/>
        <w:rPr>
          <w:b/>
        </w:rPr>
      </w:pPr>
      <w:r w:rsidRPr="000458AB">
        <w:rPr>
          <w:b/>
        </w:rPr>
        <w:lastRenderedPageBreak/>
        <w:t>Secțiunea</w:t>
      </w:r>
      <w:r w:rsidR="00670C79" w:rsidRPr="000458AB">
        <w:rPr>
          <w:b/>
        </w:rPr>
        <w:t xml:space="preserve"> a 4-a</w:t>
      </w:r>
    </w:p>
    <w:p w14:paraId="34AED0C5" w14:textId="5ABB9584" w:rsidR="00670C79" w:rsidRPr="000458AB" w:rsidRDefault="00670C79" w:rsidP="00250216">
      <w:pPr>
        <w:spacing w:after="80"/>
        <w:jc w:val="center"/>
        <w:rPr>
          <w:b/>
        </w:rPr>
      </w:pPr>
      <w:r w:rsidRPr="000458AB">
        <w:rPr>
          <w:b/>
        </w:rPr>
        <w:t xml:space="preserve">Impactul financiar asupra bugetului </w:t>
      </w:r>
      <w:r w:rsidR="0064777F" w:rsidRPr="000458AB">
        <w:rPr>
          <w:b/>
        </w:rPr>
        <w:t>general</w:t>
      </w:r>
      <w:r w:rsidRPr="000458AB">
        <w:rPr>
          <w:b/>
        </w:rPr>
        <w:t xml:space="preserve"> consolidat atât pe termen scurt, pentru</w:t>
      </w:r>
      <w:r w:rsidR="00DB71DB" w:rsidRPr="000458AB">
        <w:rPr>
          <w:b/>
        </w:rPr>
        <w:t xml:space="preserve"> </w:t>
      </w:r>
      <w:r w:rsidRPr="000458AB">
        <w:rPr>
          <w:b/>
        </w:rPr>
        <w:t>anul curent, cât şi pe termen lung (pe 5 ani)</w:t>
      </w:r>
      <w:r w:rsidR="003034B1" w:rsidRPr="000458AB">
        <w:rPr>
          <w:b/>
        </w:rPr>
        <w:t>, inclusiv informații cu privire la cheltuieli și venituri</w:t>
      </w:r>
      <w:r w:rsidR="0064777F" w:rsidRPr="000458AB">
        <w:rPr>
          <w:b/>
        </w:rPr>
        <w:t xml:space="preserve"> ***)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058"/>
        <w:gridCol w:w="1366"/>
        <w:gridCol w:w="1466"/>
        <w:gridCol w:w="1366"/>
        <w:gridCol w:w="1135"/>
        <w:gridCol w:w="1448"/>
      </w:tblGrid>
      <w:tr w:rsidR="009A76F9" w:rsidRPr="000458AB" w14:paraId="0C843357" w14:textId="77777777" w:rsidTr="0037486B">
        <w:tc>
          <w:tcPr>
            <w:tcW w:w="10533" w:type="dxa"/>
            <w:gridSpan w:val="7"/>
          </w:tcPr>
          <w:p w14:paraId="33061C9B" w14:textId="7824EB12" w:rsidR="009A76F9" w:rsidRPr="000458AB" w:rsidRDefault="009A76F9" w:rsidP="00FC5B64">
            <w:pPr>
              <w:pStyle w:val="ListParagraph"/>
              <w:numPr>
                <w:ilvl w:val="0"/>
                <w:numId w:val="13"/>
              </w:numPr>
              <w:spacing w:after="60"/>
              <w:contextualSpacing w:val="0"/>
              <w:jc w:val="right"/>
              <w:rPr>
                <w:rFonts w:ascii="Times New Roman" w:hAnsi="Times New Roman" w:cs="Times New Roman"/>
              </w:rPr>
            </w:pPr>
            <w:r w:rsidRPr="000458AB">
              <w:rPr>
                <w:rFonts w:ascii="Times New Roman" w:hAnsi="Times New Roman" w:cs="Times New Roman"/>
              </w:rPr>
              <w:t>În mii lei (RON)</w:t>
            </w:r>
          </w:p>
        </w:tc>
      </w:tr>
      <w:tr w:rsidR="00520BE3" w:rsidRPr="000458AB" w14:paraId="57D824B3" w14:textId="77777777" w:rsidTr="005A13C5">
        <w:tc>
          <w:tcPr>
            <w:tcW w:w="2694" w:type="dxa"/>
          </w:tcPr>
          <w:p w14:paraId="318BEE35" w14:textId="77777777" w:rsidR="00670C79" w:rsidRPr="000458AB" w:rsidRDefault="00670C79" w:rsidP="00FC5B64">
            <w:pPr>
              <w:pStyle w:val="Heading2"/>
              <w:spacing w:after="60"/>
              <w:rPr>
                <w:sz w:val="24"/>
              </w:rPr>
            </w:pPr>
            <w:r w:rsidRPr="000458AB">
              <w:rPr>
                <w:sz w:val="24"/>
              </w:rPr>
              <w:t>Indicatori</w:t>
            </w:r>
          </w:p>
        </w:tc>
        <w:tc>
          <w:tcPr>
            <w:tcW w:w="1058" w:type="dxa"/>
          </w:tcPr>
          <w:p w14:paraId="603E3C85" w14:textId="129C77CD" w:rsidR="00670C79" w:rsidRPr="000458AB" w:rsidRDefault="00670C79" w:rsidP="00FC5B64">
            <w:pPr>
              <w:spacing w:after="60"/>
              <w:jc w:val="center"/>
            </w:pPr>
            <w:r w:rsidRPr="000458AB">
              <w:t>An</w:t>
            </w:r>
            <w:r w:rsidR="009A76F9" w:rsidRPr="000458AB">
              <w:t>ul</w:t>
            </w:r>
            <w:r w:rsidRPr="000458AB">
              <w:t xml:space="preserve"> curent</w:t>
            </w:r>
          </w:p>
        </w:tc>
        <w:tc>
          <w:tcPr>
            <w:tcW w:w="5333" w:type="dxa"/>
            <w:gridSpan w:val="4"/>
          </w:tcPr>
          <w:p w14:paraId="4EA4AF47" w14:textId="77777777" w:rsidR="00670C79" w:rsidRPr="000458AB" w:rsidRDefault="00670C79" w:rsidP="00FC5B64">
            <w:pPr>
              <w:spacing w:after="60"/>
              <w:jc w:val="center"/>
            </w:pPr>
            <w:r w:rsidRPr="000458AB">
              <w:t>Următorii 4 ani</w:t>
            </w:r>
          </w:p>
        </w:tc>
        <w:tc>
          <w:tcPr>
            <w:tcW w:w="1448" w:type="dxa"/>
          </w:tcPr>
          <w:p w14:paraId="1EE52564" w14:textId="74A4CFA0" w:rsidR="00670C79" w:rsidRPr="000458AB" w:rsidRDefault="00670C79" w:rsidP="00FC5B64">
            <w:pPr>
              <w:spacing w:after="60"/>
              <w:jc w:val="center"/>
            </w:pPr>
            <w:r w:rsidRPr="000458AB">
              <w:t xml:space="preserve">Media </w:t>
            </w:r>
            <w:r w:rsidR="009A76F9" w:rsidRPr="000458AB">
              <w:t>pe</w:t>
            </w:r>
            <w:r w:rsidRPr="000458AB">
              <w:t xml:space="preserve"> 5 ani</w:t>
            </w:r>
          </w:p>
        </w:tc>
      </w:tr>
      <w:tr w:rsidR="00520BE3" w:rsidRPr="000458AB" w14:paraId="31AEB740" w14:textId="77777777" w:rsidTr="005A13C5">
        <w:tc>
          <w:tcPr>
            <w:tcW w:w="2694" w:type="dxa"/>
          </w:tcPr>
          <w:p w14:paraId="1A04C9C9" w14:textId="77777777" w:rsidR="00670C79" w:rsidRPr="000458AB" w:rsidRDefault="00670C79" w:rsidP="00FC5B64">
            <w:pPr>
              <w:spacing w:after="60"/>
              <w:jc w:val="center"/>
            </w:pPr>
            <w:r w:rsidRPr="000458AB">
              <w:t>1</w:t>
            </w:r>
          </w:p>
        </w:tc>
        <w:tc>
          <w:tcPr>
            <w:tcW w:w="1058" w:type="dxa"/>
            <w:vAlign w:val="center"/>
          </w:tcPr>
          <w:p w14:paraId="44BDE6EE" w14:textId="77777777" w:rsidR="00670C79" w:rsidRPr="000458AB" w:rsidRDefault="00670C79" w:rsidP="00FC5B64">
            <w:pPr>
              <w:spacing w:after="60"/>
              <w:jc w:val="center"/>
            </w:pPr>
            <w:r w:rsidRPr="000458AB">
              <w:t>2</w:t>
            </w:r>
          </w:p>
        </w:tc>
        <w:tc>
          <w:tcPr>
            <w:tcW w:w="1366" w:type="dxa"/>
            <w:vAlign w:val="center"/>
          </w:tcPr>
          <w:p w14:paraId="44511A2B" w14:textId="77777777" w:rsidR="00670C79" w:rsidRPr="000458AB" w:rsidRDefault="00670C79" w:rsidP="00FC5B64">
            <w:pPr>
              <w:spacing w:after="60"/>
              <w:jc w:val="center"/>
            </w:pPr>
            <w:r w:rsidRPr="000458AB">
              <w:t>3</w:t>
            </w:r>
          </w:p>
        </w:tc>
        <w:tc>
          <w:tcPr>
            <w:tcW w:w="1466" w:type="dxa"/>
            <w:vAlign w:val="center"/>
          </w:tcPr>
          <w:p w14:paraId="7665B810" w14:textId="77777777" w:rsidR="00670C79" w:rsidRPr="000458AB" w:rsidRDefault="00670C79" w:rsidP="00FC5B64">
            <w:pPr>
              <w:spacing w:after="60"/>
              <w:jc w:val="center"/>
            </w:pPr>
            <w:r w:rsidRPr="000458AB">
              <w:t>4</w:t>
            </w:r>
          </w:p>
        </w:tc>
        <w:tc>
          <w:tcPr>
            <w:tcW w:w="1366" w:type="dxa"/>
            <w:vAlign w:val="center"/>
          </w:tcPr>
          <w:p w14:paraId="375332DA" w14:textId="77777777" w:rsidR="00670C79" w:rsidRPr="000458AB" w:rsidRDefault="00670C79" w:rsidP="00FC5B64">
            <w:pPr>
              <w:spacing w:after="60"/>
              <w:jc w:val="center"/>
            </w:pPr>
            <w:r w:rsidRPr="000458AB">
              <w:t>5</w:t>
            </w:r>
          </w:p>
        </w:tc>
        <w:tc>
          <w:tcPr>
            <w:tcW w:w="1135" w:type="dxa"/>
            <w:vAlign w:val="center"/>
          </w:tcPr>
          <w:p w14:paraId="0DD2A48C" w14:textId="77777777" w:rsidR="00670C79" w:rsidRPr="000458AB" w:rsidRDefault="00670C79" w:rsidP="00FC5B64">
            <w:pPr>
              <w:spacing w:after="60"/>
              <w:jc w:val="center"/>
            </w:pPr>
            <w:r w:rsidRPr="000458AB">
              <w:t>6</w:t>
            </w:r>
          </w:p>
        </w:tc>
        <w:tc>
          <w:tcPr>
            <w:tcW w:w="1448" w:type="dxa"/>
            <w:vAlign w:val="center"/>
          </w:tcPr>
          <w:p w14:paraId="64FF500C" w14:textId="77777777" w:rsidR="00670C79" w:rsidRPr="000458AB" w:rsidRDefault="00670C79" w:rsidP="00FC5B64">
            <w:pPr>
              <w:spacing w:after="60"/>
              <w:jc w:val="center"/>
            </w:pPr>
            <w:r w:rsidRPr="000458AB">
              <w:t>7</w:t>
            </w:r>
          </w:p>
        </w:tc>
      </w:tr>
      <w:tr w:rsidR="00520BE3" w:rsidRPr="000458AB" w14:paraId="24F374CE" w14:textId="77777777" w:rsidTr="005A13C5">
        <w:tc>
          <w:tcPr>
            <w:tcW w:w="2694" w:type="dxa"/>
          </w:tcPr>
          <w:p w14:paraId="7075F3AB" w14:textId="3D2A3576" w:rsidR="0025682E" w:rsidRPr="000458AB" w:rsidRDefault="00CD28D5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4.</w:t>
            </w:r>
            <w:r w:rsidR="00670C79" w:rsidRPr="000458AB">
              <w:rPr>
                <w:b/>
                <w:bCs/>
              </w:rPr>
              <w:t>1.</w:t>
            </w:r>
            <w:r w:rsidRPr="000458AB">
              <w:rPr>
                <w:b/>
                <w:bCs/>
              </w:rPr>
              <w:t xml:space="preserve"> </w:t>
            </w:r>
            <w:r w:rsidR="00670C79" w:rsidRPr="000458AB">
              <w:rPr>
                <w:b/>
                <w:bCs/>
              </w:rPr>
              <w:t>Modificări ale veniturilor bugetare, plus/minus, din care:</w:t>
            </w:r>
          </w:p>
        </w:tc>
        <w:tc>
          <w:tcPr>
            <w:tcW w:w="1058" w:type="dxa"/>
          </w:tcPr>
          <w:p w14:paraId="7811CDB2" w14:textId="77777777" w:rsidR="00670C79" w:rsidRPr="000458AB" w:rsidRDefault="00670C79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366" w:type="dxa"/>
          </w:tcPr>
          <w:p w14:paraId="5E0D1921" w14:textId="77777777" w:rsidR="00670C79" w:rsidRPr="000458AB" w:rsidRDefault="00670C79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466" w:type="dxa"/>
          </w:tcPr>
          <w:p w14:paraId="3789DD62" w14:textId="77777777" w:rsidR="00670C79" w:rsidRPr="000458AB" w:rsidRDefault="00670C79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366" w:type="dxa"/>
          </w:tcPr>
          <w:p w14:paraId="3EFEBCA3" w14:textId="77777777" w:rsidR="00670C79" w:rsidRPr="000458AB" w:rsidRDefault="00670C79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135" w:type="dxa"/>
          </w:tcPr>
          <w:p w14:paraId="4D97905B" w14:textId="77777777" w:rsidR="00670C79" w:rsidRPr="000458AB" w:rsidRDefault="00670C79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448" w:type="dxa"/>
          </w:tcPr>
          <w:p w14:paraId="4A89D66A" w14:textId="77777777" w:rsidR="00670C79" w:rsidRPr="000458AB" w:rsidRDefault="00670C79" w:rsidP="00FC5B64">
            <w:pPr>
              <w:pStyle w:val="BodyText2"/>
              <w:spacing w:after="60"/>
              <w:rPr>
                <w:sz w:val="24"/>
              </w:rPr>
            </w:pPr>
          </w:p>
        </w:tc>
      </w:tr>
      <w:tr w:rsidR="003A367D" w:rsidRPr="000458AB" w14:paraId="7E845381" w14:textId="77777777" w:rsidTr="005A13C5">
        <w:tc>
          <w:tcPr>
            <w:tcW w:w="2694" w:type="dxa"/>
          </w:tcPr>
          <w:p w14:paraId="25792053" w14:textId="77777777" w:rsidR="003A367D" w:rsidRPr="000458AB" w:rsidRDefault="003A367D" w:rsidP="00FC5B64">
            <w:pPr>
              <w:spacing w:after="60"/>
              <w:jc w:val="both"/>
            </w:pPr>
            <w:r w:rsidRPr="000458AB">
              <w:t>a) bugetul de stat, din acesta:</w:t>
            </w:r>
          </w:p>
          <w:p w14:paraId="32D9DBFB" w14:textId="15A036BA" w:rsidR="003A367D" w:rsidRPr="000458AB" w:rsidRDefault="00CD28D5" w:rsidP="00FC5B64">
            <w:pPr>
              <w:spacing w:after="60"/>
              <w:jc w:val="both"/>
            </w:pPr>
            <w:r w:rsidRPr="000458AB">
              <w:t xml:space="preserve">(i) </w:t>
            </w:r>
            <w:r w:rsidR="003A367D" w:rsidRPr="000458AB">
              <w:t>impozit pe profit</w:t>
            </w:r>
          </w:p>
          <w:p w14:paraId="67C4E169" w14:textId="0BD99910" w:rsidR="003A367D" w:rsidRPr="000458AB" w:rsidRDefault="00CD28D5" w:rsidP="00FC5B64">
            <w:pPr>
              <w:spacing w:after="60"/>
              <w:jc w:val="both"/>
            </w:pPr>
            <w:r w:rsidRPr="000458AB">
              <w:t xml:space="preserve">(ii) </w:t>
            </w:r>
            <w:r w:rsidR="003A367D" w:rsidRPr="000458AB">
              <w:t>impozit pe venit</w:t>
            </w:r>
          </w:p>
        </w:tc>
        <w:tc>
          <w:tcPr>
            <w:tcW w:w="1058" w:type="dxa"/>
          </w:tcPr>
          <w:p w14:paraId="07086A97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366" w:type="dxa"/>
          </w:tcPr>
          <w:p w14:paraId="68EDD67B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466" w:type="dxa"/>
          </w:tcPr>
          <w:p w14:paraId="074A0C4C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366" w:type="dxa"/>
          </w:tcPr>
          <w:p w14:paraId="3EC66A65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135" w:type="dxa"/>
          </w:tcPr>
          <w:p w14:paraId="5CEC73AA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448" w:type="dxa"/>
          </w:tcPr>
          <w:p w14:paraId="761E2BD4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</w:tr>
      <w:tr w:rsidR="003A367D" w:rsidRPr="000458AB" w14:paraId="6771B99C" w14:textId="77777777" w:rsidTr="005A13C5">
        <w:tc>
          <w:tcPr>
            <w:tcW w:w="2694" w:type="dxa"/>
          </w:tcPr>
          <w:p w14:paraId="6A8A0E7F" w14:textId="577483D3" w:rsidR="003A367D" w:rsidRPr="000458AB" w:rsidRDefault="003A367D" w:rsidP="00FC5B64">
            <w:pPr>
              <w:spacing w:after="60"/>
              <w:jc w:val="both"/>
            </w:pPr>
            <w:r w:rsidRPr="000458AB">
              <w:t>b) bugete locale:</w:t>
            </w:r>
          </w:p>
          <w:p w14:paraId="3B0FCECB" w14:textId="7AB36B1B" w:rsidR="003A367D" w:rsidRPr="000458AB" w:rsidRDefault="00CD28D5" w:rsidP="00FC5B64">
            <w:pPr>
              <w:spacing w:after="60"/>
              <w:jc w:val="both"/>
            </w:pPr>
            <w:r w:rsidRPr="000458AB">
              <w:t xml:space="preserve">(i) </w:t>
            </w:r>
            <w:r w:rsidR="003A367D" w:rsidRPr="000458AB">
              <w:t>impozit pe profit</w:t>
            </w:r>
          </w:p>
        </w:tc>
        <w:tc>
          <w:tcPr>
            <w:tcW w:w="1058" w:type="dxa"/>
          </w:tcPr>
          <w:p w14:paraId="687D0BEC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366" w:type="dxa"/>
          </w:tcPr>
          <w:p w14:paraId="203F5632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466" w:type="dxa"/>
          </w:tcPr>
          <w:p w14:paraId="38DA8080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366" w:type="dxa"/>
          </w:tcPr>
          <w:p w14:paraId="31807B27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135" w:type="dxa"/>
          </w:tcPr>
          <w:p w14:paraId="29015A0A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448" w:type="dxa"/>
          </w:tcPr>
          <w:p w14:paraId="33E8076D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</w:tr>
      <w:tr w:rsidR="003A367D" w:rsidRPr="000458AB" w14:paraId="3ECF4DE7" w14:textId="77777777" w:rsidTr="005A13C5">
        <w:tc>
          <w:tcPr>
            <w:tcW w:w="2694" w:type="dxa"/>
          </w:tcPr>
          <w:p w14:paraId="454D76E8" w14:textId="401F8F98" w:rsidR="003A367D" w:rsidRPr="000458AB" w:rsidRDefault="003A367D" w:rsidP="00FC5B64">
            <w:pPr>
              <w:spacing w:after="60"/>
              <w:jc w:val="both"/>
            </w:pPr>
            <w:r w:rsidRPr="000458AB">
              <w:t>c) bugetul asigurărilor sociale</w:t>
            </w:r>
            <w:r w:rsidR="00CD13F8" w:rsidRPr="000458AB">
              <w:t xml:space="preserve"> de stat</w:t>
            </w:r>
          </w:p>
          <w:p w14:paraId="551EFD10" w14:textId="329FFFC6" w:rsidR="003A367D" w:rsidRPr="000458AB" w:rsidRDefault="00CD28D5" w:rsidP="00FC5B64">
            <w:pPr>
              <w:spacing w:after="60"/>
              <w:jc w:val="both"/>
            </w:pPr>
            <w:r w:rsidRPr="000458AB">
              <w:t xml:space="preserve">(i) </w:t>
            </w:r>
            <w:r w:rsidR="00695862" w:rsidRPr="000458AB">
              <w:t>contribuții</w:t>
            </w:r>
            <w:r w:rsidR="003A367D" w:rsidRPr="000458AB">
              <w:t xml:space="preserve"> de asigurări</w:t>
            </w:r>
          </w:p>
        </w:tc>
        <w:tc>
          <w:tcPr>
            <w:tcW w:w="1058" w:type="dxa"/>
          </w:tcPr>
          <w:p w14:paraId="20DF36E4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366" w:type="dxa"/>
          </w:tcPr>
          <w:p w14:paraId="2E4987C5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466" w:type="dxa"/>
          </w:tcPr>
          <w:p w14:paraId="55EA5A38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366" w:type="dxa"/>
          </w:tcPr>
          <w:p w14:paraId="1A940564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135" w:type="dxa"/>
          </w:tcPr>
          <w:p w14:paraId="3B9F8826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448" w:type="dxa"/>
          </w:tcPr>
          <w:p w14:paraId="7236E3D5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</w:tr>
      <w:tr w:rsidR="003A367D" w:rsidRPr="000458AB" w14:paraId="3B61ACE7" w14:textId="77777777" w:rsidTr="005A13C5">
        <w:tc>
          <w:tcPr>
            <w:tcW w:w="2694" w:type="dxa"/>
          </w:tcPr>
          <w:p w14:paraId="62FD1E56" w14:textId="77777777" w:rsidR="003A367D" w:rsidRPr="000458AB" w:rsidRDefault="003A367D" w:rsidP="00FC5B64">
            <w:pPr>
              <w:spacing w:after="60"/>
              <w:jc w:val="both"/>
            </w:pPr>
            <w:r w:rsidRPr="000458AB">
              <w:t xml:space="preserve">d) </w:t>
            </w:r>
            <w:r w:rsidR="00A20D72" w:rsidRPr="000458AB">
              <w:t>alte tipuri de venituri</w:t>
            </w:r>
          </w:p>
          <w:p w14:paraId="5EB8BD87" w14:textId="4527B335" w:rsidR="00A20D72" w:rsidRPr="000458AB" w:rsidRDefault="00A20D72" w:rsidP="00FC5B64">
            <w:pPr>
              <w:spacing w:after="60"/>
              <w:jc w:val="both"/>
            </w:pPr>
            <w:r w:rsidRPr="000458AB">
              <w:t>(</w:t>
            </w:r>
            <w:r w:rsidR="00EF284D" w:rsidRPr="000458AB">
              <w:t>S</w:t>
            </w:r>
            <w:r w:rsidRPr="000458AB">
              <w:t>e va menționa natura acestora</w:t>
            </w:r>
            <w:r w:rsidR="00A82648" w:rsidRPr="000458AB">
              <w:t>.</w:t>
            </w:r>
            <w:r w:rsidRPr="000458AB">
              <w:t xml:space="preserve">) </w:t>
            </w:r>
          </w:p>
        </w:tc>
        <w:tc>
          <w:tcPr>
            <w:tcW w:w="1058" w:type="dxa"/>
          </w:tcPr>
          <w:p w14:paraId="704BCA51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366" w:type="dxa"/>
          </w:tcPr>
          <w:p w14:paraId="269D834F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466" w:type="dxa"/>
          </w:tcPr>
          <w:p w14:paraId="03C3272C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366" w:type="dxa"/>
          </w:tcPr>
          <w:p w14:paraId="70C282AC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135" w:type="dxa"/>
          </w:tcPr>
          <w:p w14:paraId="711BE975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  <w:tc>
          <w:tcPr>
            <w:tcW w:w="1448" w:type="dxa"/>
          </w:tcPr>
          <w:p w14:paraId="56D819C6" w14:textId="77777777" w:rsidR="003A367D" w:rsidRPr="000458AB" w:rsidRDefault="003A367D" w:rsidP="00FC5B64">
            <w:pPr>
              <w:pStyle w:val="BodyText2"/>
              <w:spacing w:after="60"/>
              <w:rPr>
                <w:sz w:val="24"/>
              </w:rPr>
            </w:pPr>
          </w:p>
        </w:tc>
      </w:tr>
      <w:tr w:rsidR="00520BE3" w:rsidRPr="000458AB" w14:paraId="126F1061" w14:textId="77777777" w:rsidTr="005A13C5">
        <w:tc>
          <w:tcPr>
            <w:tcW w:w="2694" w:type="dxa"/>
          </w:tcPr>
          <w:p w14:paraId="1415B230" w14:textId="72A3E85F" w:rsidR="0025682E" w:rsidRPr="000458AB" w:rsidRDefault="00CD28D5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4.</w:t>
            </w:r>
            <w:r w:rsidR="00ED5D29" w:rsidRPr="000458AB">
              <w:rPr>
                <w:b/>
                <w:bCs/>
              </w:rPr>
              <w:t>2.</w:t>
            </w:r>
            <w:r w:rsidRPr="000458AB">
              <w:rPr>
                <w:b/>
                <w:bCs/>
              </w:rPr>
              <w:t xml:space="preserve"> </w:t>
            </w:r>
            <w:r w:rsidR="00ED5D29" w:rsidRPr="000458AB">
              <w:rPr>
                <w:b/>
                <w:bCs/>
              </w:rPr>
              <w:t>Modificări ale cheltuielilor bugetare</w:t>
            </w:r>
            <w:r w:rsidR="00A82648" w:rsidRPr="000458AB">
              <w:rPr>
                <w:b/>
                <w:bCs/>
              </w:rPr>
              <w:t>, plus/minus,</w:t>
            </w:r>
            <w:r w:rsidR="00ED5D29" w:rsidRPr="000458AB">
              <w:rPr>
                <w:b/>
                <w:bCs/>
              </w:rPr>
              <w:t xml:space="preserve"> din care:</w:t>
            </w:r>
          </w:p>
        </w:tc>
        <w:tc>
          <w:tcPr>
            <w:tcW w:w="1058" w:type="dxa"/>
          </w:tcPr>
          <w:p w14:paraId="7BB1C451" w14:textId="3A3864A6" w:rsidR="00E62BA0" w:rsidRPr="000458AB" w:rsidRDefault="00E62BA0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44C5A3FF" w14:textId="75FE5CBB" w:rsidR="00E62BA0" w:rsidRPr="000458AB" w:rsidRDefault="00E62BA0" w:rsidP="00FC5B64">
            <w:pPr>
              <w:spacing w:after="60"/>
              <w:jc w:val="center"/>
            </w:pPr>
          </w:p>
        </w:tc>
        <w:tc>
          <w:tcPr>
            <w:tcW w:w="1466" w:type="dxa"/>
          </w:tcPr>
          <w:p w14:paraId="1702DFD2" w14:textId="6D9B32F2" w:rsidR="00E62BA0" w:rsidRPr="000458AB" w:rsidRDefault="00E62BA0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1D7B38D6" w14:textId="659DB0F9" w:rsidR="00E62BA0" w:rsidRPr="000458AB" w:rsidRDefault="00E62BA0" w:rsidP="00FC5B64">
            <w:pPr>
              <w:spacing w:after="60"/>
              <w:jc w:val="center"/>
            </w:pPr>
          </w:p>
        </w:tc>
        <w:tc>
          <w:tcPr>
            <w:tcW w:w="1135" w:type="dxa"/>
          </w:tcPr>
          <w:p w14:paraId="09F7CD9E" w14:textId="2AFA766B" w:rsidR="00E62BA0" w:rsidRPr="000458AB" w:rsidRDefault="00E62BA0" w:rsidP="00FC5B64">
            <w:pPr>
              <w:spacing w:after="60"/>
              <w:jc w:val="center"/>
            </w:pPr>
          </w:p>
        </w:tc>
        <w:tc>
          <w:tcPr>
            <w:tcW w:w="1448" w:type="dxa"/>
          </w:tcPr>
          <w:p w14:paraId="16493B27" w14:textId="191A8F5C" w:rsidR="00E62BA0" w:rsidRPr="000458AB" w:rsidRDefault="00E62BA0" w:rsidP="00FC5B64">
            <w:pPr>
              <w:spacing w:after="60"/>
              <w:jc w:val="center"/>
            </w:pPr>
          </w:p>
        </w:tc>
      </w:tr>
      <w:tr w:rsidR="00CD28D5" w:rsidRPr="000458AB" w14:paraId="408E6817" w14:textId="77777777" w:rsidTr="005A13C5">
        <w:tc>
          <w:tcPr>
            <w:tcW w:w="2694" w:type="dxa"/>
          </w:tcPr>
          <w:p w14:paraId="2D265B20" w14:textId="19563007" w:rsidR="00CD28D5" w:rsidRPr="000458AB" w:rsidRDefault="00CD28D5" w:rsidP="00FC5B64">
            <w:pPr>
              <w:spacing w:after="60"/>
              <w:jc w:val="both"/>
            </w:pPr>
            <w:r w:rsidRPr="000458AB">
              <w:t>a) buget de stat, din acesta:</w:t>
            </w:r>
          </w:p>
          <w:p w14:paraId="3382ADB9" w14:textId="31517959" w:rsidR="00CD28D5" w:rsidRPr="000458AB" w:rsidRDefault="00CD28D5" w:rsidP="00FC5B64">
            <w:pPr>
              <w:spacing w:after="60"/>
              <w:jc w:val="both"/>
            </w:pPr>
            <w:r w:rsidRPr="000458AB">
              <w:t>(i) cheltuieli de personal</w:t>
            </w:r>
          </w:p>
          <w:p w14:paraId="2AF2C20C" w14:textId="24F90ED4" w:rsidR="00CD28D5" w:rsidRPr="000458AB" w:rsidRDefault="00CD28D5" w:rsidP="00FC5B64">
            <w:pPr>
              <w:spacing w:after="60"/>
              <w:jc w:val="both"/>
            </w:pPr>
            <w:r w:rsidRPr="000458AB">
              <w:t>(ii) bunuri şi servicii</w:t>
            </w:r>
          </w:p>
        </w:tc>
        <w:tc>
          <w:tcPr>
            <w:tcW w:w="1058" w:type="dxa"/>
          </w:tcPr>
          <w:p w14:paraId="3E0B1602" w14:textId="77777777" w:rsidR="00CD28D5" w:rsidRPr="000458AB" w:rsidRDefault="00CD28D5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4A5827CA" w14:textId="77777777" w:rsidR="00CD28D5" w:rsidRPr="000458AB" w:rsidRDefault="00CD28D5" w:rsidP="00FC5B64">
            <w:pPr>
              <w:spacing w:after="60"/>
              <w:jc w:val="center"/>
            </w:pPr>
          </w:p>
        </w:tc>
        <w:tc>
          <w:tcPr>
            <w:tcW w:w="1466" w:type="dxa"/>
          </w:tcPr>
          <w:p w14:paraId="32FB3ACA" w14:textId="77777777" w:rsidR="00CD28D5" w:rsidRPr="000458AB" w:rsidRDefault="00CD28D5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6B0B1905" w14:textId="77777777" w:rsidR="00CD28D5" w:rsidRPr="000458AB" w:rsidRDefault="00CD28D5" w:rsidP="00FC5B64">
            <w:pPr>
              <w:spacing w:after="60"/>
              <w:jc w:val="center"/>
            </w:pPr>
          </w:p>
        </w:tc>
        <w:tc>
          <w:tcPr>
            <w:tcW w:w="1135" w:type="dxa"/>
          </w:tcPr>
          <w:p w14:paraId="23CBB327" w14:textId="77777777" w:rsidR="00CD28D5" w:rsidRPr="000458AB" w:rsidRDefault="00CD28D5" w:rsidP="00FC5B64">
            <w:pPr>
              <w:spacing w:after="60"/>
              <w:jc w:val="center"/>
            </w:pPr>
          </w:p>
        </w:tc>
        <w:tc>
          <w:tcPr>
            <w:tcW w:w="1448" w:type="dxa"/>
          </w:tcPr>
          <w:p w14:paraId="58A4AD04" w14:textId="77777777" w:rsidR="00CD28D5" w:rsidRPr="000458AB" w:rsidRDefault="00CD28D5" w:rsidP="00FC5B64">
            <w:pPr>
              <w:spacing w:after="60"/>
              <w:jc w:val="center"/>
            </w:pPr>
          </w:p>
        </w:tc>
      </w:tr>
      <w:tr w:rsidR="00CD28D5" w:rsidRPr="000458AB" w14:paraId="247EA305" w14:textId="77777777" w:rsidTr="005A13C5">
        <w:tc>
          <w:tcPr>
            <w:tcW w:w="2694" w:type="dxa"/>
          </w:tcPr>
          <w:p w14:paraId="1413F8FD" w14:textId="15D4A2BF" w:rsidR="00CD28D5" w:rsidRPr="000458AB" w:rsidRDefault="00CD28D5" w:rsidP="00FC5B64">
            <w:pPr>
              <w:spacing w:after="60"/>
              <w:jc w:val="both"/>
            </w:pPr>
            <w:r w:rsidRPr="000458AB">
              <w:t>b)</w:t>
            </w:r>
            <w:r w:rsidR="00CD13F8" w:rsidRPr="000458AB">
              <w:t xml:space="preserve"> </w:t>
            </w:r>
            <w:r w:rsidRPr="000458AB">
              <w:t>bugete locale:</w:t>
            </w:r>
          </w:p>
          <w:p w14:paraId="5D43B430" w14:textId="0375DEBE" w:rsidR="00CD28D5" w:rsidRPr="000458AB" w:rsidRDefault="00CD28D5" w:rsidP="00FC5B64">
            <w:pPr>
              <w:spacing w:after="60"/>
              <w:jc w:val="both"/>
            </w:pPr>
            <w:r w:rsidRPr="000458AB">
              <w:t>(i) cheltuieli de personal</w:t>
            </w:r>
          </w:p>
          <w:p w14:paraId="5FAAC7DC" w14:textId="3646E615" w:rsidR="00CD28D5" w:rsidRPr="000458AB" w:rsidRDefault="00CD28D5" w:rsidP="00FC5B64">
            <w:pPr>
              <w:spacing w:after="60"/>
              <w:jc w:val="both"/>
            </w:pPr>
            <w:r w:rsidRPr="000458AB">
              <w:t>(ii) bunuri şi servicii</w:t>
            </w:r>
          </w:p>
        </w:tc>
        <w:tc>
          <w:tcPr>
            <w:tcW w:w="1058" w:type="dxa"/>
          </w:tcPr>
          <w:p w14:paraId="35C2339D" w14:textId="77777777" w:rsidR="00CD28D5" w:rsidRPr="000458AB" w:rsidRDefault="00CD28D5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7642EF10" w14:textId="77777777" w:rsidR="00CD28D5" w:rsidRPr="000458AB" w:rsidRDefault="00CD28D5" w:rsidP="00FC5B64">
            <w:pPr>
              <w:spacing w:after="60"/>
              <w:jc w:val="center"/>
            </w:pPr>
          </w:p>
        </w:tc>
        <w:tc>
          <w:tcPr>
            <w:tcW w:w="1466" w:type="dxa"/>
          </w:tcPr>
          <w:p w14:paraId="00DA41A3" w14:textId="77777777" w:rsidR="00CD28D5" w:rsidRPr="000458AB" w:rsidRDefault="00CD28D5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5014B167" w14:textId="77777777" w:rsidR="00CD28D5" w:rsidRPr="000458AB" w:rsidRDefault="00CD28D5" w:rsidP="00FC5B64">
            <w:pPr>
              <w:spacing w:after="60"/>
              <w:jc w:val="center"/>
            </w:pPr>
          </w:p>
        </w:tc>
        <w:tc>
          <w:tcPr>
            <w:tcW w:w="1135" w:type="dxa"/>
          </w:tcPr>
          <w:p w14:paraId="44E6962F" w14:textId="77777777" w:rsidR="00CD28D5" w:rsidRPr="000458AB" w:rsidRDefault="00CD28D5" w:rsidP="00FC5B64">
            <w:pPr>
              <w:spacing w:after="60"/>
              <w:jc w:val="center"/>
            </w:pPr>
          </w:p>
        </w:tc>
        <w:tc>
          <w:tcPr>
            <w:tcW w:w="1448" w:type="dxa"/>
          </w:tcPr>
          <w:p w14:paraId="5D1C5F3E" w14:textId="77777777" w:rsidR="00CD28D5" w:rsidRPr="000458AB" w:rsidRDefault="00CD28D5" w:rsidP="00FC5B64">
            <w:pPr>
              <w:spacing w:after="60"/>
              <w:jc w:val="center"/>
            </w:pPr>
          </w:p>
        </w:tc>
      </w:tr>
      <w:tr w:rsidR="00CD13F8" w:rsidRPr="000458AB" w14:paraId="64A76806" w14:textId="77777777" w:rsidTr="005A13C5">
        <w:tc>
          <w:tcPr>
            <w:tcW w:w="2694" w:type="dxa"/>
          </w:tcPr>
          <w:p w14:paraId="30172BDF" w14:textId="0D2320D4" w:rsidR="00CD13F8" w:rsidRPr="000458AB" w:rsidRDefault="00CD13F8" w:rsidP="00FC5B64">
            <w:pPr>
              <w:spacing w:after="60"/>
              <w:jc w:val="both"/>
            </w:pPr>
            <w:r w:rsidRPr="000458AB">
              <w:t>c) bugetul asigurărilor sociale de stat:</w:t>
            </w:r>
          </w:p>
          <w:p w14:paraId="03FADADD" w14:textId="1EB62078" w:rsidR="00CD13F8" w:rsidRPr="000458AB" w:rsidRDefault="00CD13F8" w:rsidP="00FC5B64">
            <w:pPr>
              <w:spacing w:after="60"/>
              <w:jc w:val="both"/>
            </w:pPr>
            <w:r w:rsidRPr="000458AB">
              <w:t>(i) cheltuieli de personal</w:t>
            </w:r>
          </w:p>
          <w:p w14:paraId="55656529" w14:textId="757B5B4C" w:rsidR="00CD13F8" w:rsidRPr="000458AB" w:rsidRDefault="00CD13F8" w:rsidP="00FC5B64">
            <w:pPr>
              <w:spacing w:after="60"/>
              <w:jc w:val="both"/>
            </w:pPr>
            <w:r w:rsidRPr="000458AB">
              <w:t>(ii) bunuri şi servicii</w:t>
            </w:r>
          </w:p>
        </w:tc>
        <w:tc>
          <w:tcPr>
            <w:tcW w:w="1058" w:type="dxa"/>
          </w:tcPr>
          <w:p w14:paraId="2DE6BAAD" w14:textId="77777777" w:rsidR="00CD13F8" w:rsidRPr="000458AB" w:rsidRDefault="00CD13F8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07943E17" w14:textId="77777777" w:rsidR="00CD13F8" w:rsidRPr="000458AB" w:rsidRDefault="00CD13F8" w:rsidP="00FC5B64">
            <w:pPr>
              <w:spacing w:after="60"/>
              <w:jc w:val="center"/>
            </w:pPr>
          </w:p>
        </w:tc>
        <w:tc>
          <w:tcPr>
            <w:tcW w:w="1466" w:type="dxa"/>
          </w:tcPr>
          <w:p w14:paraId="5D1EB785" w14:textId="77777777" w:rsidR="00CD13F8" w:rsidRPr="000458AB" w:rsidRDefault="00CD13F8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7E7347DF" w14:textId="77777777" w:rsidR="00CD13F8" w:rsidRPr="000458AB" w:rsidRDefault="00CD13F8" w:rsidP="00FC5B64">
            <w:pPr>
              <w:spacing w:after="60"/>
              <w:jc w:val="center"/>
            </w:pPr>
          </w:p>
        </w:tc>
        <w:tc>
          <w:tcPr>
            <w:tcW w:w="1135" w:type="dxa"/>
          </w:tcPr>
          <w:p w14:paraId="27993F0F" w14:textId="77777777" w:rsidR="00CD13F8" w:rsidRPr="000458AB" w:rsidRDefault="00CD13F8" w:rsidP="00FC5B64">
            <w:pPr>
              <w:spacing w:after="60"/>
              <w:jc w:val="center"/>
            </w:pPr>
          </w:p>
        </w:tc>
        <w:tc>
          <w:tcPr>
            <w:tcW w:w="1448" w:type="dxa"/>
          </w:tcPr>
          <w:p w14:paraId="3D14DE78" w14:textId="77777777" w:rsidR="00CD13F8" w:rsidRPr="000458AB" w:rsidRDefault="00CD13F8" w:rsidP="00FC5B64">
            <w:pPr>
              <w:spacing w:after="60"/>
              <w:jc w:val="center"/>
            </w:pPr>
          </w:p>
        </w:tc>
      </w:tr>
      <w:tr w:rsidR="00EF284D" w:rsidRPr="000458AB" w14:paraId="5C3A403A" w14:textId="77777777" w:rsidTr="005A13C5">
        <w:tc>
          <w:tcPr>
            <w:tcW w:w="2694" w:type="dxa"/>
          </w:tcPr>
          <w:p w14:paraId="3BF8A849" w14:textId="176DF995" w:rsidR="00EF284D" w:rsidRPr="000458AB" w:rsidRDefault="00EF284D" w:rsidP="00FC5B64">
            <w:pPr>
              <w:spacing w:after="60"/>
              <w:jc w:val="both"/>
            </w:pPr>
            <w:r w:rsidRPr="000458AB">
              <w:t xml:space="preserve">d) alte tipuri de </w:t>
            </w:r>
            <w:r w:rsidR="00A82648" w:rsidRPr="000458AB">
              <w:t>cheltuieli</w:t>
            </w:r>
          </w:p>
          <w:p w14:paraId="359EE9C4" w14:textId="710C86CB" w:rsidR="00EF284D" w:rsidRPr="000458AB" w:rsidRDefault="00EF284D" w:rsidP="00FC5B64">
            <w:pPr>
              <w:spacing w:after="60"/>
              <w:jc w:val="both"/>
            </w:pPr>
            <w:r w:rsidRPr="000458AB">
              <w:t>(Se va menționa natura acestora</w:t>
            </w:r>
            <w:r w:rsidR="00A82648" w:rsidRPr="000458AB">
              <w:t>.</w:t>
            </w:r>
            <w:r w:rsidRPr="000458AB">
              <w:t>)</w:t>
            </w:r>
          </w:p>
        </w:tc>
        <w:tc>
          <w:tcPr>
            <w:tcW w:w="1058" w:type="dxa"/>
          </w:tcPr>
          <w:p w14:paraId="2C7AC338" w14:textId="77777777" w:rsidR="00EF284D" w:rsidRPr="000458AB" w:rsidRDefault="00EF284D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7CA00BF7" w14:textId="77777777" w:rsidR="00EF284D" w:rsidRPr="000458AB" w:rsidRDefault="00EF284D" w:rsidP="00FC5B64">
            <w:pPr>
              <w:spacing w:after="60"/>
              <w:jc w:val="center"/>
            </w:pPr>
          </w:p>
        </w:tc>
        <w:tc>
          <w:tcPr>
            <w:tcW w:w="1466" w:type="dxa"/>
          </w:tcPr>
          <w:p w14:paraId="22F7EDA8" w14:textId="77777777" w:rsidR="00EF284D" w:rsidRPr="000458AB" w:rsidRDefault="00EF284D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1C65014D" w14:textId="77777777" w:rsidR="00EF284D" w:rsidRPr="000458AB" w:rsidRDefault="00EF284D" w:rsidP="00FC5B64">
            <w:pPr>
              <w:spacing w:after="60"/>
              <w:jc w:val="center"/>
            </w:pPr>
          </w:p>
        </w:tc>
        <w:tc>
          <w:tcPr>
            <w:tcW w:w="1135" w:type="dxa"/>
          </w:tcPr>
          <w:p w14:paraId="69EFB472" w14:textId="77777777" w:rsidR="00EF284D" w:rsidRPr="000458AB" w:rsidRDefault="00EF284D" w:rsidP="00FC5B64">
            <w:pPr>
              <w:spacing w:after="60"/>
              <w:jc w:val="center"/>
            </w:pPr>
          </w:p>
        </w:tc>
        <w:tc>
          <w:tcPr>
            <w:tcW w:w="1448" w:type="dxa"/>
          </w:tcPr>
          <w:p w14:paraId="2BEA7293" w14:textId="77777777" w:rsidR="00EF284D" w:rsidRPr="000458AB" w:rsidRDefault="00EF284D" w:rsidP="00FC5B64">
            <w:pPr>
              <w:spacing w:after="60"/>
              <w:jc w:val="center"/>
            </w:pPr>
          </w:p>
        </w:tc>
      </w:tr>
      <w:tr w:rsidR="00A75729" w:rsidRPr="000458AB" w14:paraId="6E9F3798" w14:textId="77777777" w:rsidTr="005A13C5">
        <w:tc>
          <w:tcPr>
            <w:tcW w:w="2694" w:type="dxa"/>
          </w:tcPr>
          <w:p w14:paraId="1C49C2EC" w14:textId="77777777" w:rsidR="00A75729" w:rsidRPr="000458AB" w:rsidRDefault="00A75729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4.3. Impact financiar, plus/minus, din care:</w:t>
            </w:r>
          </w:p>
          <w:p w14:paraId="656BFCEC" w14:textId="54C7982C" w:rsidR="00A75729" w:rsidRPr="000458AB" w:rsidRDefault="00A75729" w:rsidP="00FC5B64">
            <w:pPr>
              <w:spacing w:after="60"/>
              <w:jc w:val="both"/>
            </w:pPr>
            <w:r w:rsidRPr="000458AB">
              <w:t>a) buget de stat</w:t>
            </w:r>
          </w:p>
        </w:tc>
        <w:tc>
          <w:tcPr>
            <w:tcW w:w="1058" w:type="dxa"/>
          </w:tcPr>
          <w:p w14:paraId="7AD2D601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0568D044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466" w:type="dxa"/>
          </w:tcPr>
          <w:p w14:paraId="210A6366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2693F75B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135" w:type="dxa"/>
          </w:tcPr>
          <w:p w14:paraId="1585137C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448" w:type="dxa"/>
          </w:tcPr>
          <w:p w14:paraId="2D494315" w14:textId="77777777" w:rsidR="00A75729" w:rsidRPr="000458AB" w:rsidRDefault="00A75729" w:rsidP="00FC5B64">
            <w:pPr>
              <w:spacing w:after="60"/>
              <w:jc w:val="center"/>
            </w:pPr>
          </w:p>
        </w:tc>
      </w:tr>
      <w:tr w:rsidR="00A75729" w:rsidRPr="000458AB" w14:paraId="3177FEF7" w14:textId="77777777" w:rsidTr="005A13C5">
        <w:tc>
          <w:tcPr>
            <w:tcW w:w="2694" w:type="dxa"/>
          </w:tcPr>
          <w:p w14:paraId="33908C4A" w14:textId="118E34DE" w:rsidR="00A75729" w:rsidRPr="000458AB" w:rsidRDefault="00A75729" w:rsidP="00FC5B64">
            <w:pPr>
              <w:spacing w:after="60"/>
              <w:jc w:val="both"/>
            </w:pPr>
            <w:r w:rsidRPr="000458AB">
              <w:t>b) bugete locale</w:t>
            </w:r>
          </w:p>
        </w:tc>
        <w:tc>
          <w:tcPr>
            <w:tcW w:w="1058" w:type="dxa"/>
          </w:tcPr>
          <w:p w14:paraId="4B62CC0C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283AC80B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466" w:type="dxa"/>
          </w:tcPr>
          <w:p w14:paraId="7219261C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49D7F163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135" w:type="dxa"/>
          </w:tcPr>
          <w:p w14:paraId="7C544E7C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448" w:type="dxa"/>
          </w:tcPr>
          <w:p w14:paraId="4953DDFD" w14:textId="77777777" w:rsidR="00A75729" w:rsidRPr="000458AB" w:rsidRDefault="00A75729" w:rsidP="00FC5B64">
            <w:pPr>
              <w:spacing w:after="60"/>
              <w:jc w:val="center"/>
            </w:pPr>
          </w:p>
        </w:tc>
      </w:tr>
      <w:tr w:rsidR="00A75729" w:rsidRPr="000458AB" w14:paraId="4B985901" w14:textId="77777777" w:rsidTr="005A13C5">
        <w:tc>
          <w:tcPr>
            <w:tcW w:w="2694" w:type="dxa"/>
          </w:tcPr>
          <w:p w14:paraId="41F94191" w14:textId="4D675AF2" w:rsidR="00A75729" w:rsidRPr="000458AB" w:rsidRDefault="00A75729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lastRenderedPageBreak/>
              <w:t>4.4. Propuneri pentru acoperirea creşterii cheltuielilor bugetare</w:t>
            </w:r>
          </w:p>
        </w:tc>
        <w:tc>
          <w:tcPr>
            <w:tcW w:w="1058" w:type="dxa"/>
          </w:tcPr>
          <w:p w14:paraId="12553E7B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6B4AB040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466" w:type="dxa"/>
          </w:tcPr>
          <w:p w14:paraId="2B58709A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7AE48667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135" w:type="dxa"/>
          </w:tcPr>
          <w:p w14:paraId="2C05220B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448" w:type="dxa"/>
          </w:tcPr>
          <w:p w14:paraId="5BF7C6F4" w14:textId="77777777" w:rsidR="00A75729" w:rsidRPr="000458AB" w:rsidRDefault="00A75729" w:rsidP="00FC5B64">
            <w:pPr>
              <w:spacing w:after="60"/>
              <w:jc w:val="center"/>
            </w:pPr>
          </w:p>
        </w:tc>
      </w:tr>
      <w:tr w:rsidR="00A75729" w:rsidRPr="000458AB" w14:paraId="0936FEC1" w14:textId="77777777" w:rsidTr="005A13C5">
        <w:tc>
          <w:tcPr>
            <w:tcW w:w="2694" w:type="dxa"/>
          </w:tcPr>
          <w:p w14:paraId="31602873" w14:textId="19763228" w:rsidR="00A75729" w:rsidRPr="000458AB" w:rsidRDefault="00A75729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4.5. Propuneri pentru a compensa reducerea veniturilor bugetare</w:t>
            </w:r>
          </w:p>
        </w:tc>
        <w:tc>
          <w:tcPr>
            <w:tcW w:w="1058" w:type="dxa"/>
          </w:tcPr>
          <w:p w14:paraId="50FCA196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06CFE138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466" w:type="dxa"/>
          </w:tcPr>
          <w:p w14:paraId="6FFFE022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46465A6F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135" w:type="dxa"/>
          </w:tcPr>
          <w:p w14:paraId="14082553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448" w:type="dxa"/>
          </w:tcPr>
          <w:p w14:paraId="178CA231" w14:textId="77777777" w:rsidR="00A75729" w:rsidRPr="000458AB" w:rsidRDefault="00A75729" w:rsidP="00FC5B64">
            <w:pPr>
              <w:spacing w:after="60"/>
              <w:jc w:val="center"/>
            </w:pPr>
          </w:p>
        </w:tc>
      </w:tr>
      <w:tr w:rsidR="00A75729" w:rsidRPr="000458AB" w14:paraId="153D0F09" w14:textId="77777777" w:rsidTr="005A13C5">
        <w:tc>
          <w:tcPr>
            <w:tcW w:w="2694" w:type="dxa"/>
          </w:tcPr>
          <w:p w14:paraId="4E7FCDBB" w14:textId="336B0E28" w:rsidR="00A75729" w:rsidRPr="000458AB" w:rsidRDefault="00A75729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4.6. Calcule detaliate privind fundamentarea modificărilor  veniturilor şi/sau cheltuielilor bugetare</w:t>
            </w:r>
          </w:p>
        </w:tc>
        <w:tc>
          <w:tcPr>
            <w:tcW w:w="1058" w:type="dxa"/>
          </w:tcPr>
          <w:p w14:paraId="18046DC1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7CF35163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466" w:type="dxa"/>
          </w:tcPr>
          <w:p w14:paraId="1D863FB9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366" w:type="dxa"/>
          </w:tcPr>
          <w:p w14:paraId="42476051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135" w:type="dxa"/>
          </w:tcPr>
          <w:p w14:paraId="4746E189" w14:textId="77777777" w:rsidR="00A75729" w:rsidRPr="000458AB" w:rsidRDefault="00A75729" w:rsidP="00FC5B64">
            <w:pPr>
              <w:spacing w:after="60"/>
              <w:jc w:val="center"/>
            </w:pPr>
          </w:p>
        </w:tc>
        <w:tc>
          <w:tcPr>
            <w:tcW w:w="1448" w:type="dxa"/>
          </w:tcPr>
          <w:p w14:paraId="05472402" w14:textId="77777777" w:rsidR="00A75729" w:rsidRPr="000458AB" w:rsidRDefault="00A75729" w:rsidP="00FC5B64">
            <w:pPr>
              <w:spacing w:after="60"/>
              <w:jc w:val="center"/>
            </w:pPr>
          </w:p>
        </w:tc>
      </w:tr>
      <w:tr w:rsidR="00A75729" w:rsidRPr="000458AB" w14:paraId="260B3CE9" w14:textId="77777777" w:rsidTr="006A42CB">
        <w:tc>
          <w:tcPr>
            <w:tcW w:w="10533" w:type="dxa"/>
            <w:gridSpan w:val="7"/>
          </w:tcPr>
          <w:p w14:paraId="38A65360" w14:textId="7BB19CF9" w:rsidR="00A75729" w:rsidRPr="000458AB" w:rsidRDefault="00A75729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4.7. Prezentarea, în cazul proiectelor de acte normative</w:t>
            </w:r>
            <w:r w:rsidR="00A60FAE" w:rsidRPr="000458AB">
              <w:rPr>
                <w:b/>
                <w:bCs/>
              </w:rPr>
              <w:t xml:space="preserve"> a căror adaptare atrage majorarea cheltuielilor bugetare, a următoarelor documente:</w:t>
            </w:r>
          </w:p>
          <w:p w14:paraId="67DFFAEF" w14:textId="7D591E0B" w:rsidR="00A60FAE" w:rsidRDefault="00A60FAE" w:rsidP="00FC5B64">
            <w:pPr>
              <w:spacing w:after="60"/>
              <w:jc w:val="both"/>
            </w:pPr>
            <w:r w:rsidRPr="000458AB">
              <w:t>a) fișa financiară prevăzută la art. 15 din Legea nr. 500/2002 privind finanțele publice, cu modificările și completările ulterioare, însoțită de ipotezele și metodologia de calcul utilizată;</w:t>
            </w:r>
          </w:p>
          <w:p w14:paraId="5EE2853B" w14:textId="6B76379B" w:rsidR="005B1F10" w:rsidRPr="000458AB" w:rsidRDefault="005B1F10" w:rsidP="00FC5B64">
            <w:pPr>
              <w:spacing w:after="60"/>
              <w:jc w:val="both"/>
            </w:pPr>
            <w:r>
              <w:t xml:space="preserve">Nu este cazul </w:t>
            </w:r>
          </w:p>
          <w:p w14:paraId="59BB06F6" w14:textId="77777777" w:rsidR="00A60FAE" w:rsidRDefault="00A60FAE" w:rsidP="00FC5B64">
            <w:pPr>
              <w:spacing w:after="60"/>
              <w:jc w:val="both"/>
            </w:pPr>
            <w:r w:rsidRPr="000458AB">
              <w:t xml:space="preserve">b) declarație conform căreia majorarea de cheltuială respectivă este compatibilă cu obiectivele și prioritățile strategice specificate în strategia fiscal-bugetară, cu legea bugetară anuală și cu plafoanele </w:t>
            </w:r>
            <w:r w:rsidR="00A82648" w:rsidRPr="000458AB">
              <w:t xml:space="preserve">de cheltuieli </w:t>
            </w:r>
            <w:r w:rsidRPr="000458AB">
              <w:t>prezentate în strategia fiscal-bugetară.</w:t>
            </w:r>
          </w:p>
          <w:p w14:paraId="699F79A9" w14:textId="51A97C1C" w:rsidR="005B1F10" w:rsidRPr="000458AB" w:rsidRDefault="005B1F10" w:rsidP="00FC5B64">
            <w:pPr>
              <w:spacing w:after="60"/>
              <w:jc w:val="both"/>
            </w:pPr>
            <w:r>
              <w:t xml:space="preserve">Nu este cazul </w:t>
            </w:r>
          </w:p>
        </w:tc>
      </w:tr>
      <w:tr w:rsidR="00B4537B" w:rsidRPr="000458AB" w14:paraId="675CE50B" w14:textId="77777777" w:rsidTr="00D72556">
        <w:tc>
          <w:tcPr>
            <w:tcW w:w="10533" w:type="dxa"/>
            <w:gridSpan w:val="7"/>
          </w:tcPr>
          <w:p w14:paraId="54C419F5" w14:textId="77777777" w:rsidR="00B4537B" w:rsidRPr="000458AB" w:rsidRDefault="00B4537B" w:rsidP="00FC5B64">
            <w:pPr>
              <w:spacing w:after="60"/>
              <w:rPr>
                <w:b/>
                <w:bCs/>
              </w:rPr>
            </w:pPr>
            <w:r w:rsidRPr="000458AB">
              <w:rPr>
                <w:b/>
                <w:bCs/>
              </w:rPr>
              <w:t>4.8. Alte informații</w:t>
            </w:r>
          </w:p>
          <w:p w14:paraId="64B74EF4" w14:textId="5DB25DCF" w:rsidR="00723488" w:rsidRPr="000458AB" w:rsidRDefault="00723488" w:rsidP="00FC5B64">
            <w:pPr>
              <w:spacing w:after="60"/>
            </w:pPr>
            <w:r w:rsidRPr="000458AB">
              <w:t>Nu au fost identificate</w:t>
            </w:r>
          </w:p>
        </w:tc>
      </w:tr>
    </w:tbl>
    <w:p w14:paraId="1F6057EB" w14:textId="39063F27" w:rsidR="00D97666" w:rsidRPr="000458AB" w:rsidRDefault="00670C79" w:rsidP="00250216">
      <w:pPr>
        <w:spacing w:after="80"/>
        <w:jc w:val="both"/>
        <w:rPr>
          <w:b/>
          <w:highlight w:val="yellow"/>
        </w:rPr>
      </w:pPr>
      <w:r w:rsidRPr="000458AB">
        <w:rPr>
          <w:b/>
          <w:highlight w:val="yellow"/>
        </w:rPr>
        <w:t xml:space="preserve">   </w:t>
      </w:r>
    </w:p>
    <w:p w14:paraId="777ED2E4" w14:textId="24A79B35" w:rsidR="00B4537B" w:rsidRPr="000458AB" w:rsidRDefault="0053303E" w:rsidP="00250216">
      <w:pPr>
        <w:spacing w:after="80"/>
        <w:jc w:val="center"/>
        <w:rPr>
          <w:b/>
        </w:rPr>
      </w:pPr>
      <w:r w:rsidRPr="000458AB">
        <w:rPr>
          <w:b/>
        </w:rPr>
        <w:t>Secțiunea</w:t>
      </w:r>
      <w:r w:rsidR="00670C79" w:rsidRPr="000458AB">
        <w:rPr>
          <w:b/>
        </w:rPr>
        <w:t xml:space="preserve"> a 5-a</w:t>
      </w:r>
    </w:p>
    <w:p w14:paraId="7E1BCAF6" w14:textId="3D431DFE" w:rsidR="00670C79" w:rsidRPr="000458AB" w:rsidRDefault="00670C79" w:rsidP="00250216">
      <w:pPr>
        <w:spacing w:after="80"/>
        <w:jc w:val="center"/>
        <w:rPr>
          <w:b/>
        </w:rPr>
      </w:pPr>
      <w:r w:rsidRPr="000458AB">
        <w:rPr>
          <w:b/>
        </w:rPr>
        <w:t xml:space="preserve">Efectele proiectului de act normativ asupra </w:t>
      </w:r>
      <w:r w:rsidR="0053303E" w:rsidRPr="000458AB">
        <w:rPr>
          <w:b/>
        </w:rPr>
        <w:t>legislației</w:t>
      </w:r>
      <w:r w:rsidRPr="000458AB">
        <w:rPr>
          <w:b/>
        </w:rPr>
        <w:t xml:space="preserve"> în vigoare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973701" w:rsidRPr="000458AB" w14:paraId="327176B4" w14:textId="77777777" w:rsidTr="00B400EE">
        <w:trPr>
          <w:trHeight w:val="561"/>
        </w:trPr>
        <w:tc>
          <w:tcPr>
            <w:tcW w:w="10533" w:type="dxa"/>
          </w:tcPr>
          <w:p w14:paraId="4F9076D7" w14:textId="3B626545" w:rsidR="00973701" w:rsidRPr="000458AB" w:rsidRDefault="00973701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5.1. Măsuri normative necesare pentru aplicarea prevederilor proiectului de act normativ</w:t>
            </w:r>
          </w:p>
          <w:p w14:paraId="48D3D9AA" w14:textId="0252212F" w:rsidR="00723488" w:rsidRPr="000458AB" w:rsidRDefault="00723488" w:rsidP="00FC5B64">
            <w:pPr>
              <w:spacing w:after="60"/>
              <w:jc w:val="both"/>
            </w:pPr>
            <w:r w:rsidRPr="000458AB">
              <w:t>Nu este cazul</w:t>
            </w:r>
          </w:p>
          <w:p w14:paraId="082FB576" w14:textId="385D721B" w:rsidR="00456611" w:rsidRPr="000458AB" w:rsidRDefault="00973701" w:rsidP="00FC5B64">
            <w:pPr>
              <w:tabs>
                <w:tab w:val="left" w:pos="201"/>
              </w:tabs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5.2. Impactul asupra legislației în domeniul achizițiilor publice</w:t>
            </w:r>
          </w:p>
          <w:p w14:paraId="73EF4A8D" w14:textId="1DA5EBCC" w:rsidR="00723488" w:rsidRPr="000458AB" w:rsidRDefault="00723488" w:rsidP="00FC5B64">
            <w:pPr>
              <w:tabs>
                <w:tab w:val="left" w:pos="201"/>
              </w:tabs>
              <w:spacing w:after="60"/>
              <w:jc w:val="both"/>
            </w:pPr>
            <w:r w:rsidRPr="000458AB">
              <w:t>Prezentul act normativ nu se referă la acest subiect</w:t>
            </w:r>
          </w:p>
          <w:p w14:paraId="3CE6B9A6" w14:textId="2DF4E543" w:rsidR="00973701" w:rsidRPr="000458AB" w:rsidRDefault="00973701" w:rsidP="00FC5B64">
            <w:pPr>
              <w:tabs>
                <w:tab w:val="left" w:pos="201"/>
              </w:tabs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 xml:space="preserve">5.3. Conformitatea  proiectului de act normativ cu </w:t>
            </w:r>
            <w:r w:rsidR="0053303E" w:rsidRPr="000458AB">
              <w:rPr>
                <w:b/>
                <w:bCs/>
              </w:rPr>
              <w:t>legislația</w:t>
            </w:r>
            <w:r w:rsidRPr="000458AB">
              <w:rPr>
                <w:b/>
                <w:bCs/>
              </w:rPr>
              <w:t xml:space="preserve"> UE (în cazul proiectelor ce transpun sau asigură aplicarea unor prevederi de drept UE)</w:t>
            </w:r>
          </w:p>
          <w:p w14:paraId="3EB922B7" w14:textId="049AF966" w:rsidR="00456611" w:rsidRPr="000458AB" w:rsidRDefault="00973701" w:rsidP="00FC5B64">
            <w:pPr>
              <w:tabs>
                <w:tab w:val="left" w:pos="201"/>
              </w:tabs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5.3.1. Măsuri normative necesare transpunerii directivelor UE</w:t>
            </w:r>
          </w:p>
          <w:p w14:paraId="69E5C3B2" w14:textId="77777777" w:rsidR="00723488" w:rsidRPr="000458AB" w:rsidRDefault="00723488" w:rsidP="00FC5B64">
            <w:pPr>
              <w:tabs>
                <w:tab w:val="left" w:pos="201"/>
              </w:tabs>
              <w:spacing w:after="60"/>
              <w:jc w:val="both"/>
            </w:pPr>
            <w:r w:rsidRPr="000458AB">
              <w:t>Prezentul act normativ nu se referă la acest subiect</w:t>
            </w:r>
          </w:p>
          <w:p w14:paraId="1DA2C64E" w14:textId="2E9183B8" w:rsidR="00C369F9" w:rsidRPr="000458AB" w:rsidRDefault="00674D58" w:rsidP="00FC5B64">
            <w:pPr>
              <w:tabs>
                <w:tab w:val="left" w:pos="201"/>
              </w:tabs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5.3.2. Măsuri normative necesare aplicării actelor legislative UE</w:t>
            </w:r>
          </w:p>
          <w:p w14:paraId="30852866" w14:textId="77777777" w:rsidR="00723488" w:rsidRPr="000458AB" w:rsidRDefault="00723488" w:rsidP="00FC5B64">
            <w:pPr>
              <w:tabs>
                <w:tab w:val="left" w:pos="201"/>
              </w:tabs>
              <w:spacing w:after="60"/>
              <w:jc w:val="both"/>
            </w:pPr>
            <w:r w:rsidRPr="000458AB">
              <w:t>Prezentul act normativ nu se referă la acest subiect</w:t>
            </w:r>
          </w:p>
          <w:p w14:paraId="1292063A" w14:textId="7F6B9E87" w:rsidR="002623AD" w:rsidRPr="000458AB" w:rsidRDefault="00674D58" w:rsidP="00FC5B64">
            <w:pPr>
              <w:tabs>
                <w:tab w:val="left" w:pos="201"/>
              </w:tabs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5.4. Hotărâri ale Curţii de Justiţie a Uniunii Europene</w:t>
            </w:r>
            <w:r w:rsidR="002623AD" w:rsidRPr="000458AB">
              <w:rPr>
                <w:b/>
                <w:bCs/>
              </w:rPr>
              <w:t xml:space="preserve"> </w:t>
            </w:r>
          </w:p>
          <w:p w14:paraId="45018BCA" w14:textId="77777777" w:rsidR="00723488" w:rsidRPr="000458AB" w:rsidRDefault="00723488" w:rsidP="00FC5B64">
            <w:pPr>
              <w:tabs>
                <w:tab w:val="left" w:pos="201"/>
              </w:tabs>
              <w:spacing w:after="60"/>
              <w:jc w:val="both"/>
            </w:pPr>
            <w:r w:rsidRPr="000458AB">
              <w:t>Prezentul act normativ nu se referă la acest subiect</w:t>
            </w:r>
          </w:p>
          <w:p w14:paraId="68B890A9" w14:textId="77777777" w:rsidR="00723488" w:rsidRPr="000458AB" w:rsidRDefault="00674D58" w:rsidP="00FC5B64">
            <w:pPr>
              <w:tabs>
                <w:tab w:val="left" w:pos="201"/>
              </w:tabs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5.5. Alte acte normative şi/sau documente internaţionale din care decurg angajamente asumate</w:t>
            </w:r>
          </w:p>
          <w:p w14:paraId="0B9287A7" w14:textId="77777777" w:rsidR="00723488" w:rsidRPr="000458AB" w:rsidRDefault="00723488" w:rsidP="00FC5B64">
            <w:pPr>
              <w:tabs>
                <w:tab w:val="left" w:pos="201"/>
              </w:tabs>
              <w:spacing w:after="60"/>
              <w:jc w:val="both"/>
            </w:pPr>
            <w:r w:rsidRPr="000458AB">
              <w:t>Prezentul act normativ nu se referă la acest subiect</w:t>
            </w:r>
          </w:p>
          <w:p w14:paraId="37138732" w14:textId="77777777" w:rsidR="00973701" w:rsidRPr="000458AB" w:rsidRDefault="00674D58" w:rsidP="00FC5B64">
            <w:pPr>
              <w:tabs>
                <w:tab w:val="left" w:pos="201"/>
              </w:tabs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5.6. Alte informații</w:t>
            </w:r>
          </w:p>
          <w:p w14:paraId="7C430706" w14:textId="033658E4" w:rsidR="00CB7478" w:rsidRPr="000458AB" w:rsidRDefault="00CB7478" w:rsidP="00FC5B64">
            <w:pPr>
              <w:tabs>
                <w:tab w:val="left" w:pos="201"/>
              </w:tabs>
              <w:spacing w:after="60"/>
              <w:jc w:val="both"/>
            </w:pPr>
            <w:r w:rsidRPr="000458AB">
              <w:t>Nu au fost identificate</w:t>
            </w:r>
          </w:p>
        </w:tc>
      </w:tr>
    </w:tbl>
    <w:p w14:paraId="7203B83A" w14:textId="4A0007E1" w:rsidR="00DB715E" w:rsidRDefault="00DB715E" w:rsidP="00250216">
      <w:pPr>
        <w:spacing w:after="80"/>
        <w:rPr>
          <w:b/>
          <w:highlight w:val="yellow"/>
        </w:rPr>
      </w:pPr>
      <w:r w:rsidRPr="000458AB">
        <w:rPr>
          <w:b/>
          <w:highlight w:val="yellow"/>
        </w:rPr>
        <w:t xml:space="preserve">   </w:t>
      </w:r>
    </w:p>
    <w:p w14:paraId="7BEEFCB0" w14:textId="77777777" w:rsidR="00F6631B" w:rsidRDefault="00F6631B" w:rsidP="00250216">
      <w:pPr>
        <w:spacing w:after="80"/>
        <w:jc w:val="center"/>
        <w:rPr>
          <w:b/>
        </w:rPr>
      </w:pPr>
    </w:p>
    <w:p w14:paraId="6F04DAD9" w14:textId="05D487E5" w:rsidR="00BB0782" w:rsidRPr="000458AB" w:rsidRDefault="00BB0782" w:rsidP="00250216">
      <w:pPr>
        <w:spacing w:after="80"/>
        <w:jc w:val="center"/>
        <w:rPr>
          <w:b/>
        </w:rPr>
      </w:pPr>
      <w:r w:rsidRPr="000458AB">
        <w:rPr>
          <w:b/>
        </w:rPr>
        <w:lastRenderedPageBreak/>
        <w:t>Secțiunea a 6-a</w:t>
      </w:r>
    </w:p>
    <w:p w14:paraId="4113E59E" w14:textId="59419D76" w:rsidR="00670C79" w:rsidRPr="000458AB" w:rsidRDefault="00670C79" w:rsidP="00250216">
      <w:pPr>
        <w:spacing w:after="80"/>
        <w:jc w:val="center"/>
        <w:rPr>
          <w:b/>
        </w:rPr>
      </w:pPr>
      <w:r w:rsidRPr="000458AB">
        <w:rPr>
          <w:b/>
        </w:rPr>
        <w:t>Consultările efectuate în vederea elaborării proiectului de act normativ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770E01" w:rsidRPr="000458AB" w14:paraId="5EB7CDBC" w14:textId="77777777" w:rsidTr="00096014">
        <w:tc>
          <w:tcPr>
            <w:tcW w:w="10533" w:type="dxa"/>
          </w:tcPr>
          <w:p w14:paraId="598B642C" w14:textId="4C2ABE40" w:rsidR="00770E01" w:rsidRPr="000458AB" w:rsidRDefault="00770E01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6.1. Informații privind neaplicarea procedurii de participare la elaborarea actelor normative</w:t>
            </w:r>
          </w:p>
          <w:p w14:paraId="639C0CFE" w14:textId="77777777" w:rsidR="00CB7478" w:rsidRPr="000458AB" w:rsidRDefault="00CB7478" w:rsidP="00FC5B64">
            <w:pPr>
              <w:spacing w:after="60"/>
              <w:jc w:val="both"/>
            </w:pPr>
            <w:r w:rsidRPr="000458AB">
              <w:t>Proiectul de act normativ nu se referă la acest subiect.</w:t>
            </w:r>
          </w:p>
          <w:p w14:paraId="0B61431A" w14:textId="7D286F3B" w:rsidR="00770E01" w:rsidRPr="000458AB" w:rsidRDefault="00770E01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6.2. Informaţii privind procesul de consultare cu organizaţii neguvernamentale, institute de cercetare şi alte organisme implicate</w:t>
            </w:r>
          </w:p>
          <w:p w14:paraId="1F65C454" w14:textId="77777777" w:rsidR="00CB7478" w:rsidRPr="000458AB" w:rsidRDefault="00CB7478" w:rsidP="00FC5B64">
            <w:pPr>
              <w:spacing w:after="60"/>
              <w:jc w:val="both"/>
            </w:pPr>
            <w:r w:rsidRPr="000458AB">
              <w:t>Proiectul de act normativ nu se referă la acest subiect.</w:t>
            </w:r>
          </w:p>
          <w:p w14:paraId="2BABECC5" w14:textId="3BB037DA" w:rsidR="00926ABC" w:rsidRDefault="00770E01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6.3. Informații despre consultările organizate cu autoritățile administrației publice locale</w:t>
            </w:r>
          </w:p>
          <w:p w14:paraId="03EF6327" w14:textId="77777777" w:rsidR="00FC5B64" w:rsidRPr="000458AB" w:rsidRDefault="00FC5B64" w:rsidP="00FC5B64">
            <w:pPr>
              <w:spacing w:after="60"/>
              <w:jc w:val="both"/>
            </w:pPr>
            <w:r w:rsidRPr="000458AB">
              <w:t>Proiectul de act normativ nu se referă la acest subiect.</w:t>
            </w:r>
          </w:p>
          <w:p w14:paraId="53F02791" w14:textId="3AF89CD8" w:rsidR="00770E01" w:rsidRPr="000458AB" w:rsidRDefault="00770E01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6.4. Informații privind puncte de vedere/opinii emise de organisme consul</w:t>
            </w:r>
            <w:r w:rsidR="00F06A51" w:rsidRPr="000458AB">
              <w:rPr>
                <w:b/>
                <w:bCs/>
              </w:rPr>
              <w:t>t</w:t>
            </w:r>
            <w:r w:rsidRPr="000458AB">
              <w:rPr>
                <w:b/>
                <w:bCs/>
              </w:rPr>
              <w:t>ative constituite prin acte normative</w:t>
            </w:r>
          </w:p>
          <w:p w14:paraId="3C8D47E5" w14:textId="6D40E50D" w:rsidR="00CB7478" w:rsidRPr="000458AB" w:rsidRDefault="00CB7478" w:rsidP="00FC5B64">
            <w:pPr>
              <w:spacing w:after="60"/>
              <w:jc w:val="both"/>
            </w:pPr>
            <w:r w:rsidRPr="000458AB">
              <w:t>Proiectul de act normativ nu se referă la acest subiect.</w:t>
            </w:r>
          </w:p>
          <w:p w14:paraId="0FF572CC" w14:textId="3F3A66CE" w:rsidR="00770E01" w:rsidRPr="000458AB" w:rsidRDefault="00770E01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6.5</w:t>
            </w:r>
            <w:r w:rsidR="004555DD" w:rsidRPr="000458AB">
              <w:rPr>
                <w:b/>
                <w:bCs/>
              </w:rPr>
              <w:t>.</w:t>
            </w:r>
            <w:r w:rsidRPr="000458AB">
              <w:rPr>
                <w:b/>
                <w:bCs/>
              </w:rPr>
              <w:t xml:space="preserve"> Informații privind avizarea de către:</w:t>
            </w:r>
          </w:p>
          <w:p w14:paraId="4019CFEC" w14:textId="73AC6216" w:rsidR="00CB7478" w:rsidRPr="000458AB" w:rsidRDefault="00770E01" w:rsidP="00FC5B64">
            <w:pPr>
              <w:spacing w:after="60"/>
              <w:jc w:val="both"/>
            </w:pPr>
            <w:r w:rsidRPr="000458AB">
              <w:t xml:space="preserve">a) </w:t>
            </w:r>
            <w:r w:rsidRPr="000458AB">
              <w:rPr>
                <w:b/>
                <w:bCs/>
              </w:rPr>
              <w:t xml:space="preserve">Consiliul </w:t>
            </w:r>
            <w:r w:rsidR="008F6907" w:rsidRPr="000458AB">
              <w:rPr>
                <w:b/>
                <w:bCs/>
              </w:rPr>
              <w:t>L</w:t>
            </w:r>
            <w:r w:rsidRPr="000458AB">
              <w:rPr>
                <w:b/>
                <w:bCs/>
              </w:rPr>
              <w:t>egislativ</w:t>
            </w:r>
            <w:r w:rsidR="00FA2645" w:rsidRPr="000458AB">
              <w:t xml:space="preserve"> </w:t>
            </w:r>
          </w:p>
          <w:p w14:paraId="5FE65553" w14:textId="15D2A101" w:rsidR="00770E01" w:rsidRPr="000458AB" w:rsidRDefault="00770E01" w:rsidP="00FC5B64">
            <w:pPr>
              <w:spacing w:after="60"/>
              <w:jc w:val="both"/>
            </w:pPr>
            <w:r w:rsidRPr="000458AB">
              <w:t>b)</w:t>
            </w:r>
            <w:r w:rsidR="00456611" w:rsidRPr="000458AB">
              <w:t xml:space="preserve"> </w:t>
            </w:r>
            <w:r w:rsidRPr="000458AB">
              <w:t>Consiliul Suprem de Apărare a Ţării</w:t>
            </w:r>
          </w:p>
          <w:p w14:paraId="4AC17768" w14:textId="373BE093" w:rsidR="00CB7478" w:rsidRPr="000458AB" w:rsidRDefault="00770E01" w:rsidP="00FC5B64">
            <w:pPr>
              <w:spacing w:after="60"/>
              <w:jc w:val="both"/>
              <w:rPr>
                <w:color w:val="FF0000"/>
              </w:rPr>
            </w:pPr>
            <w:r w:rsidRPr="000458AB">
              <w:t>c)</w:t>
            </w:r>
            <w:r w:rsidR="00456611" w:rsidRPr="000458AB">
              <w:t xml:space="preserve"> </w:t>
            </w:r>
            <w:r w:rsidRPr="000458AB">
              <w:t>Consiliul Economic şi Social</w:t>
            </w:r>
            <w:r w:rsidR="00CB7478" w:rsidRPr="000458AB">
              <w:t xml:space="preserve"> </w:t>
            </w:r>
          </w:p>
          <w:p w14:paraId="782E1FCE" w14:textId="0F23478A" w:rsidR="00770E01" w:rsidRPr="000458AB" w:rsidRDefault="00770E01" w:rsidP="00FC5B64">
            <w:pPr>
              <w:spacing w:after="60"/>
              <w:jc w:val="both"/>
            </w:pPr>
            <w:r w:rsidRPr="000458AB">
              <w:t>d)</w:t>
            </w:r>
            <w:r w:rsidR="00456611" w:rsidRPr="000458AB">
              <w:t xml:space="preserve"> </w:t>
            </w:r>
            <w:r w:rsidRPr="000458AB">
              <w:t xml:space="preserve">Consiliul </w:t>
            </w:r>
            <w:r w:rsidR="00CB7478" w:rsidRPr="000458AB">
              <w:t>Concurenței</w:t>
            </w:r>
            <w:r w:rsidRPr="000458AB">
              <w:t xml:space="preserve"> </w:t>
            </w:r>
          </w:p>
          <w:p w14:paraId="2F3CE523" w14:textId="520A4B5E" w:rsidR="00CB7478" w:rsidRPr="000458AB" w:rsidRDefault="00770E01" w:rsidP="00FC5B64">
            <w:pPr>
              <w:spacing w:after="60"/>
              <w:jc w:val="both"/>
            </w:pPr>
            <w:r w:rsidRPr="000458AB">
              <w:t>e)</w:t>
            </w:r>
            <w:r w:rsidR="00456611" w:rsidRPr="000458AB">
              <w:t xml:space="preserve"> </w:t>
            </w:r>
            <w:r w:rsidRPr="000458AB">
              <w:t>Curtea de Conturi</w:t>
            </w:r>
            <w:r w:rsidR="00CB7478" w:rsidRPr="000458AB">
              <w:t xml:space="preserve"> </w:t>
            </w:r>
          </w:p>
          <w:p w14:paraId="6FFA42D7" w14:textId="223BF56E" w:rsidR="00084688" w:rsidRDefault="00084688" w:rsidP="00FC5B64">
            <w:pPr>
              <w:spacing w:after="60"/>
              <w:jc w:val="both"/>
            </w:pPr>
            <w:r w:rsidRPr="000458AB">
              <w:t>Proiectul de act normativ a fost avizat de Consiliul Legislativ prin avizul nr.........</w:t>
            </w:r>
          </w:p>
          <w:p w14:paraId="71433F45" w14:textId="40585338" w:rsidR="00865B39" w:rsidRPr="000458AB" w:rsidRDefault="00865B39" w:rsidP="00FC5B64">
            <w:pPr>
              <w:spacing w:after="60"/>
              <w:jc w:val="both"/>
            </w:pPr>
            <w:r w:rsidRPr="00FC5B64">
              <w:t>S-a solicitat punctul de vedere al Curții de Conturi și Autorității de Audit din cadrul Curții de Conturi a României</w:t>
            </w:r>
            <w:r w:rsidR="005B1F10">
              <w:t>, Consiliul Concurenței.</w:t>
            </w:r>
          </w:p>
          <w:p w14:paraId="2BD75505" w14:textId="77777777" w:rsidR="00770E01" w:rsidRPr="000458AB" w:rsidRDefault="00770E01" w:rsidP="00FC5B64">
            <w:pPr>
              <w:spacing w:after="6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6.6. Alte informații</w:t>
            </w:r>
          </w:p>
          <w:p w14:paraId="32E03757" w14:textId="31F06083" w:rsidR="004841A2" w:rsidRPr="000458AB" w:rsidRDefault="00197BB2" w:rsidP="00FC5B64">
            <w:pPr>
              <w:spacing w:after="60"/>
              <w:jc w:val="both"/>
              <w:rPr>
                <w:highlight w:val="yellow"/>
              </w:rPr>
            </w:pPr>
            <w:r w:rsidRPr="000458AB">
              <w:t>Nu este cazul</w:t>
            </w:r>
          </w:p>
        </w:tc>
      </w:tr>
    </w:tbl>
    <w:p w14:paraId="743889EF" w14:textId="77777777" w:rsidR="004841A2" w:rsidRPr="000458AB" w:rsidRDefault="004841A2" w:rsidP="00250216">
      <w:pPr>
        <w:pStyle w:val="BodyTextIndent2"/>
        <w:spacing w:before="0" w:after="80" w:line="240" w:lineRule="auto"/>
        <w:ind w:left="180" w:right="98" w:firstLine="540"/>
        <w:jc w:val="both"/>
        <w:rPr>
          <w:bCs w:val="0"/>
          <w:sz w:val="24"/>
          <w:highlight w:val="yellow"/>
        </w:rPr>
      </w:pPr>
    </w:p>
    <w:p w14:paraId="311858C9" w14:textId="06D3FD57" w:rsidR="00770E01" w:rsidRPr="000458AB" w:rsidRDefault="00670C79" w:rsidP="00250216">
      <w:pPr>
        <w:pStyle w:val="BodyTextIndent2"/>
        <w:spacing w:before="0" w:after="80" w:line="240" w:lineRule="auto"/>
        <w:ind w:right="101" w:firstLine="0"/>
        <w:jc w:val="center"/>
        <w:rPr>
          <w:bCs w:val="0"/>
          <w:sz w:val="24"/>
        </w:rPr>
      </w:pPr>
      <w:r w:rsidRPr="000458AB">
        <w:rPr>
          <w:bCs w:val="0"/>
          <w:sz w:val="24"/>
        </w:rPr>
        <w:t>Secţiunea a 7-a</w:t>
      </w:r>
    </w:p>
    <w:p w14:paraId="45DA67B7" w14:textId="070DA24F" w:rsidR="00260E13" w:rsidRPr="000458AB" w:rsidRDefault="00670C79" w:rsidP="00250216">
      <w:pPr>
        <w:pStyle w:val="BodyTextIndent2"/>
        <w:spacing w:before="0" w:after="80" w:line="240" w:lineRule="auto"/>
        <w:ind w:right="98" w:firstLine="0"/>
        <w:jc w:val="center"/>
        <w:rPr>
          <w:bCs w:val="0"/>
          <w:sz w:val="24"/>
        </w:rPr>
      </w:pPr>
      <w:r w:rsidRPr="000458AB">
        <w:rPr>
          <w:bCs w:val="0"/>
          <w:sz w:val="24"/>
        </w:rPr>
        <w:t xml:space="preserve">Activităţi de informare publică privind elaborarea şi implementarea </w:t>
      </w:r>
      <w:bookmarkStart w:id="0" w:name="_Hlk100229941"/>
      <w:r w:rsidRPr="000458AB">
        <w:rPr>
          <w:bCs w:val="0"/>
          <w:sz w:val="24"/>
        </w:rPr>
        <w:t>proiectului de act normativ</w:t>
      </w:r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770E01" w:rsidRPr="000458AB" w14:paraId="416004E3" w14:textId="77777777" w:rsidTr="00634CAE">
        <w:tc>
          <w:tcPr>
            <w:tcW w:w="10533" w:type="dxa"/>
          </w:tcPr>
          <w:p w14:paraId="71F919C0" w14:textId="77777777" w:rsidR="008716D6" w:rsidRDefault="00770E01" w:rsidP="00250216">
            <w:pPr>
              <w:spacing w:after="8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 xml:space="preserve">7.1. </w:t>
            </w:r>
            <w:r w:rsidR="0053566B" w:rsidRPr="000458AB">
              <w:rPr>
                <w:b/>
                <w:bCs/>
              </w:rPr>
              <w:t xml:space="preserve">Informarea </w:t>
            </w:r>
            <w:r w:rsidR="00D97666" w:rsidRPr="000458AB">
              <w:rPr>
                <w:b/>
                <w:bCs/>
              </w:rPr>
              <w:t>societății</w:t>
            </w:r>
            <w:r w:rsidR="0053566B" w:rsidRPr="000458AB">
              <w:rPr>
                <w:b/>
                <w:bCs/>
              </w:rPr>
              <w:t xml:space="preserve"> civile cu privire la elaborarea proiectului de act normativ</w:t>
            </w:r>
          </w:p>
          <w:p w14:paraId="6348130F" w14:textId="1E7B3AB3" w:rsidR="004A0CA7" w:rsidRPr="00213A75" w:rsidRDefault="004A0CA7" w:rsidP="00250216">
            <w:pPr>
              <w:spacing w:after="80"/>
              <w:jc w:val="both"/>
            </w:pPr>
            <w:r w:rsidRPr="00213A75">
              <w:t>Prezentul proiect de act normativ respectă prevederile art. 7 alin. (13) din Legea nr. 52/2003 privind transparența decizională în administrația publică, republicată</w:t>
            </w:r>
            <w:r w:rsidRPr="00FC5B64">
              <w:t xml:space="preserve">, având în vedere </w:t>
            </w:r>
            <w:r w:rsidR="00B63CAB" w:rsidRPr="00FC5B64">
              <w:t xml:space="preserve">necesitatea încadrării în termenul prevăzut la art. 8 alin. (2) din </w:t>
            </w:r>
            <w:r w:rsidR="005B1F10">
              <w:t>Ordonanța de urgență a Guvernului</w:t>
            </w:r>
            <w:r w:rsidR="005B1F10" w:rsidRPr="00FC5B64">
              <w:t xml:space="preserve"> </w:t>
            </w:r>
            <w:r w:rsidR="00B63CAB" w:rsidRPr="00FC5B64">
              <w:t>nr. 170/2022</w:t>
            </w:r>
            <w:r w:rsidRPr="00FC5B64">
              <w:t xml:space="preserve"> și a fost publicat în </w:t>
            </w:r>
            <w:r w:rsidR="005B1F10">
              <w:t>consultare</w:t>
            </w:r>
            <w:r w:rsidR="005B1F10" w:rsidRPr="00FC5B64">
              <w:t xml:space="preserve"> </w:t>
            </w:r>
            <w:r w:rsidRPr="00FC5B64">
              <w:t>publică pe pagina de internet a Ministerului Investițiilor și Proiectelor Europene la data</w:t>
            </w:r>
            <w:r w:rsidRPr="00213A75">
              <w:t xml:space="preserve"> de</w:t>
            </w:r>
            <w:r w:rsidR="00B147B1">
              <w:t xml:space="preserve"> 03.02.2023</w:t>
            </w:r>
            <w:r w:rsidR="00D5746A">
              <w:t>.</w:t>
            </w:r>
          </w:p>
          <w:p w14:paraId="3695E7F7" w14:textId="213D296F" w:rsidR="0053566B" w:rsidRPr="000458AB" w:rsidRDefault="0053566B" w:rsidP="00250216">
            <w:pPr>
              <w:spacing w:after="8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7.2. Informarea societăţii civile cu privire la e</w:t>
            </w:r>
            <w:r w:rsidR="008F6907" w:rsidRPr="000458AB">
              <w:rPr>
                <w:b/>
                <w:bCs/>
              </w:rPr>
              <w:t>v</w:t>
            </w:r>
            <w:r w:rsidRPr="000458AB">
              <w:rPr>
                <w:b/>
                <w:bCs/>
              </w:rPr>
              <w:t>entualul impact asupra mediului în urma implementării proiectului de act normativ, precum și efectele asupra sănătății și securității cetățenilor sau diversității biologice</w:t>
            </w:r>
          </w:p>
          <w:p w14:paraId="76237CB1" w14:textId="77777777" w:rsidR="00D97666" w:rsidRPr="000458AB" w:rsidRDefault="00D97666" w:rsidP="00250216">
            <w:pPr>
              <w:tabs>
                <w:tab w:val="left" w:pos="201"/>
              </w:tabs>
              <w:spacing w:after="80"/>
              <w:jc w:val="both"/>
            </w:pPr>
            <w:r w:rsidRPr="000458AB">
              <w:t>Prezentul act normativ nu se referă la acest subiect</w:t>
            </w:r>
          </w:p>
          <w:p w14:paraId="4C5B4C8B" w14:textId="77777777" w:rsidR="008F6907" w:rsidRPr="000458AB" w:rsidRDefault="008F6907" w:rsidP="00250216">
            <w:pPr>
              <w:spacing w:after="80"/>
              <w:jc w:val="both"/>
              <w:rPr>
                <w:b/>
                <w:bCs/>
              </w:rPr>
            </w:pPr>
            <w:r w:rsidRPr="000458AB">
              <w:rPr>
                <w:b/>
                <w:bCs/>
              </w:rPr>
              <w:t>7.3. Alte informații</w:t>
            </w:r>
          </w:p>
          <w:p w14:paraId="6A2C5259" w14:textId="07199E37" w:rsidR="00D97666" w:rsidRPr="000458AB" w:rsidRDefault="00D97666" w:rsidP="00250216">
            <w:pPr>
              <w:spacing w:after="80"/>
              <w:jc w:val="both"/>
              <w:rPr>
                <w:b/>
                <w:bCs/>
              </w:rPr>
            </w:pPr>
            <w:r w:rsidRPr="000458AB">
              <w:t>Nu au fost identificate</w:t>
            </w:r>
          </w:p>
        </w:tc>
      </w:tr>
    </w:tbl>
    <w:p w14:paraId="1DCAD9D0" w14:textId="3D865306" w:rsidR="002E20A6" w:rsidRPr="000458AB" w:rsidRDefault="002E20A6" w:rsidP="00250216">
      <w:pPr>
        <w:spacing w:after="80"/>
        <w:rPr>
          <w:b/>
        </w:rPr>
      </w:pPr>
    </w:p>
    <w:p w14:paraId="31A8CEAE" w14:textId="77777777" w:rsidR="00F6631B" w:rsidRDefault="00F6631B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341152AF" w14:textId="5B67A16E" w:rsidR="0053566B" w:rsidRPr="000458AB" w:rsidRDefault="00670C79" w:rsidP="00250216">
      <w:pPr>
        <w:spacing w:after="80"/>
        <w:jc w:val="center"/>
        <w:rPr>
          <w:b/>
        </w:rPr>
      </w:pPr>
      <w:r w:rsidRPr="000458AB">
        <w:rPr>
          <w:b/>
        </w:rPr>
        <w:lastRenderedPageBreak/>
        <w:t>Secţiunea a 8- a</w:t>
      </w:r>
    </w:p>
    <w:p w14:paraId="3FBCA191" w14:textId="2A77164A" w:rsidR="00670C79" w:rsidRPr="000458AB" w:rsidRDefault="00670C79" w:rsidP="00250216">
      <w:pPr>
        <w:spacing w:after="80"/>
        <w:jc w:val="center"/>
        <w:rPr>
          <w:b/>
        </w:rPr>
      </w:pPr>
      <w:r w:rsidRPr="000458AB">
        <w:rPr>
          <w:b/>
        </w:rPr>
        <w:t xml:space="preserve">Măsuri </w:t>
      </w:r>
      <w:r w:rsidR="0053566B" w:rsidRPr="000458AB">
        <w:rPr>
          <w:b/>
        </w:rPr>
        <w:t>privind</w:t>
      </w:r>
      <w:r w:rsidRPr="000458AB">
        <w:rPr>
          <w:b/>
        </w:rPr>
        <w:t xml:space="preserve"> implementare</w:t>
      </w:r>
      <w:r w:rsidR="0053566B" w:rsidRPr="000458AB">
        <w:rPr>
          <w:b/>
        </w:rPr>
        <w:t>a, monitorizarea și evaluarea proiectului de act normativ</w:t>
      </w:r>
    </w:p>
    <w:tbl>
      <w:tblPr>
        <w:tblW w:w="105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3"/>
      </w:tblGrid>
      <w:tr w:rsidR="0053566B" w:rsidRPr="000458AB" w14:paraId="554BFAFC" w14:textId="77777777" w:rsidTr="00435BC5">
        <w:tc>
          <w:tcPr>
            <w:tcW w:w="10553" w:type="dxa"/>
          </w:tcPr>
          <w:p w14:paraId="560280B7" w14:textId="5C5AA51F" w:rsidR="0053566B" w:rsidRPr="000458AB" w:rsidRDefault="0053566B" w:rsidP="00FC5B64">
            <w:pPr>
              <w:pStyle w:val="Heading1"/>
              <w:spacing w:after="60" w:line="240" w:lineRule="auto"/>
              <w:jc w:val="both"/>
              <w:rPr>
                <w:b/>
                <w:bCs/>
                <w:sz w:val="24"/>
              </w:rPr>
            </w:pPr>
            <w:r w:rsidRPr="000458AB">
              <w:rPr>
                <w:b/>
                <w:bCs/>
                <w:sz w:val="24"/>
              </w:rPr>
              <w:t>8.1. Măsuri de punere în aplicare a proiectului de act normativ</w:t>
            </w:r>
          </w:p>
          <w:p w14:paraId="129BAE9F" w14:textId="77777777" w:rsidR="00D97666" w:rsidRPr="000458AB" w:rsidRDefault="00D97666" w:rsidP="00FC5B64">
            <w:pPr>
              <w:tabs>
                <w:tab w:val="left" w:pos="201"/>
              </w:tabs>
              <w:spacing w:after="60"/>
              <w:jc w:val="both"/>
            </w:pPr>
            <w:r w:rsidRPr="000458AB">
              <w:t>Prezentul act normativ nu se referă la acest subiect</w:t>
            </w:r>
          </w:p>
          <w:p w14:paraId="41930950" w14:textId="77777777" w:rsidR="0053566B" w:rsidRPr="000458AB" w:rsidRDefault="0053566B" w:rsidP="00FC5B64">
            <w:pPr>
              <w:spacing w:after="60"/>
              <w:rPr>
                <w:b/>
                <w:bCs/>
              </w:rPr>
            </w:pPr>
            <w:r w:rsidRPr="000458AB">
              <w:rPr>
                <w:b/>
                <w:bCs/>
              </w:rPr>
              <w:t>8.2. Alte informaţii</w:t>
            </w:r>
          </w:p>
          <w:p w14:paraId="3837F202" w14:textId="40D90679" w:rsidR="00D97666" w:rsidRPr="000458AB" w:rsidRDefault="00D97666" w:rsidP="00FC5B64">
            <w:pPr>
              <w:spacing w:after="60"/>
            </w:pPr>
            <w:r w:rsidRPr="000458AB">
              <w:t>Nu au fost identificate</w:t>
            </w:r>
          </w:p>
        </w:tc>
      </w:tr>
    </w:tbl>
    <w:p w14:paraId="28A87137" w14:textId="3EA10693" w:rsidR="00C5468F" w:rsidRPr="000458AB" w:rsidRDefault="00C5468F" w:rsidP="00250216">
      <w:pPr>
        <w:widowControl w:val="0"/>
        <w:spacing w:after="80"/>
        <w:jc w:val="both"/>
        <w:rPr>
          <w:highlight w:val="yellow"/>
        </w:rPr>
      </w:pPr>
    </w:p>
    <w:p w14:paraId="7CDE5F19" w14:textId="37C7E96A" w:rsidR="00AF34ED" w:rsidRPr="000458AB" w:rsidRDefault="00AF34ED" w:rsidP="000458AB">
      <w:pPr>
        <w:autoSpaceDE w:val="0"/>
        <w:autoSpaceDN w:val="0"/>
        <w:adjustRightInd w:val="0"/>
        <w:spacing w:after="120"/>
        <w:jc w:val="both"/>
      </w:pPr>
      <w:r w:rsidRPr="000458AB">
        <w:t xml:space="preserve">Față de cele prezentate mai sus, a fost promovat prezentul proiect de </w:t>
      </w:r>
      <w:r w:rsidR="00495663" w:rsidRPr="00F6631B">
        <w:rPr>
          <w:b/>
          <w:bCs/>
        </w:rPr>
        <w:t xml:space="preserve">Hotărâre de Guvern </w:t>
      </w:r>
      <w:r w:rsidR="00B63CAB" w:rsidRPr="00F6631B">
        <w:rPr>
          <w:b/>
          <w:bCs/>
        </w:rPr>
        <w:t>pentru modificarea Hotărârii Guvernului nr. 398/2015 pentru stabilirea cadrului instituţional de coordonare şi  gestionare a  fondurilor europene structurale și de investiții și pentru asigurarea continuității cadrului instituțional de coordonare și gestionare a instrumentelor structurale 2007-2013</w:t>
      </w:r>
      <w:r w:rsidRPr="000458AB">
        <w:t>, care în forma prezentată, a fost avizat de ministerele interesate şi pe care îl supunem adoptării.</w:t>
      </w:r>
    </w:p>
    <w:p w14:paraId="0EF84A43" w14:textId="376A3138" w:rsidR="005546BE" w:rsidRDefault="005546BE" w:rsidP="000458AB">
      <w:pPr>
        <w:autoSpaceDE w:val="0"/>
        <w:autoSpaceDN w:val="0"/>
        <w:adjustRightInd w:val="0"/>
        <w:spacing w:after="120"/>
        <w:jc w:val="both"/>
        <w:rPr>
          <w:highlight w:val="yellow"/>
        </w:rPr>
      </w:pPr>
    </w:p>
    <w:p w14:paraId="7FEEFBD2" w14:textId="77777777" w:rsidR="004A0CA7" w:rsidRPr="000458AB" w:rsidRDefault="004A0CA7" w:rsidP="000458AB">
      <w:pPr>
        <w:autoSpaceDE w:val="0"/>
        <w:autoSpaceDN w:val="0"/>
        <w:adjustRightInd w:val="0"/>
        <w:spacing w:after="120"/>
        <w:jc w:val="both"/>
        <w:rPr>
          <w:highlight w:val="yellow"/>
        </w:rPr>
      </w:pPr>
    </w:p>
    <w:p w14:paraId="1B498924" w14:textId="6F1EF288" w:rsidR="00CC46D1" w:rsidRPr="000458AB" w:rsidRDefault="00CC46D1" w:rsidP="000458AB">
      <w:pPr>
        <w:spacing w:after="120"/>
        <w:jc w:val="center"/>
        <w:rPr>
          <w:b/>
          <w:bCs/>
        </w:rPr>
      </w:pPr>
      <w:r w:rsidRPr="000458AB">
        <w:rPr>
          <w:b/>
          <w:bCs/>
        </w:rPr>
        <w:t>MINISTRUL INVESTIȚIILOR ȘI PROIECTELOR EUROPENE</w:t>
      </w:r>
    </w:p>
    <w:p w14:paraId="114B3E0D" w14:textId="0E9828E8" w:rsidR="00CC46D1" w:rsidRPr="000458AB" w:rsidRDefault="00CC46D1" w:rsidP="000458AB">
      <w:pPr>
        <w:spacing w:after="120"/>
        <w:jc w:val="center"/>
        <w:rPr>
          <w:b/>
          <w:bCs/>
        </w:rPr>
      </w:pPr>
    </w:p>
    <w:p w14:paraId="7E65F7E3" w14:textId="53BA4D61" w:rsidR="00CC46D1" w:rsidRPr="000458AB" w:rsidRDefault="00CC46D1" w:rsidP="000458AB">
      <w:pPr>
        <w:spacing w:after="120"/>
        <w:jc w:val="center"/>
        <w:rPr>
          <w:b/>
          <w:bCs/>
        </w:rPr>
      </w:pPr>
      <w:r w:rsidRPr="000458AB">
        <w:rPr>
          <w:b/>
          <w:bCs/>
        </w:rPr>
        <w:t>Marcel-Ioan BOLOȘ</w:t>
      </w:r>
    </w:p>
    <w:p w14:paraId="20DE0175" w14:textId="7FEAB85F" w:rsidR="007101CD" w:rsidRPr="000458AB" w:rsidRDefault="007101CD" w:rsidP="000458AB">
      <w:pPr>
        <w:autoSpaceDE w:val="0"/>
        <w:autoSpaceDN w:val="0"/>
        <w:adjustRightInd w:val="0"/>
        <w:spacing w:after="120"/>
        <w:jc w:val="center"/>
      </w:pPr>
    </w:p>
    <w:p w14:paraId="6AB010AA" w14:textId="77777777" w:rsidR="007101CD" w:rsidRPr="000458AB" w:rsidRDefault="007101CD" w:rsidP="000458AB">
      <w:pPr>
        <w:autoSpaceDE w:val="0"/>
        <w:autoSpaceDN w:val="0"/>
        <w:adjustRightInd w:val="0"/>
        <w:spacing w:after="120"/>
        <w:jc w:val="center"/>
      </w:pPr>
    </w:p>
    <w:p w14:paraId="38AA6517" w14:textId="370ACB49" w:rsidR="00CC46D1" w:rsidRDefault="00CC46D1" w:rsidP="000458AB">
      <w:pPr>
        <w:spacing w:after="120"/>
        <w:ind w:left="720" w:hanging="720"/>
        <w:jc w:val="center"/>
        <w:rPr>
          <w:b/>
          <w:bCs/>
        </w:rPr>
      </w:pPr>
      <w:r w:rsidRPr="000458AB">
        <w:rPr>
          <w:b/>
          <w:bCs/>
        </w:rPr>
        <w:t>Avizatori:</w:t>
      </w:r>
    </w:p>
    <w:p w14:paraId="34257E32" w14:textId="77777777" w:rsidR="00EA0A6C" w:rsidRDefault="00EA0A6C" w:rsidP="000458AB">
      <w:pPr>
        <w:spacing w:after="120"/>
        <w:ind w:left="720" w:hanging="720"/>
        <w:jc w:val="center"/>
        <w:rPr>
          <w:b/>
          <w:bCs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866"/>
      </w:tblGrid>
      <w:tr w:rsidR="009B5F39" w14:paraId="2B619703" w14:textId="77777777" w:rsidTr="00920A4A">
        <w:trPr>
          <w:trHeight w:val="1414"/>
        </w:trPr>
        <w:tc>
          <w:tcPr>
            <w:tcW w:w="4942" w:type="dxa"/>
          </w:tcPr>
          <w:p w14:paraId="5F5AD28A" w14:textId="77777777" w:rsidR="009B5F39" w:rsidRDefault="009B5F39" w:rsidP="009B5F39">
            <w:pPr>
              <w:spacing w:after="120"/>
              <w:jc w:val="center"/>
              <w:rPr>
                <w:b/>
                <w:bCs/>
              </w:rPr>
            </w:pPr>
            <w:bookmarkStart w:id="1" w:name="_Hlk118969669"/>
            <w:r w:rsidRPr="00E94A2C">
              <w:rPr>
                <w:b/>
                <w:bCs/>
              </w:rPr>
              <w:t>MINISTRUL DEZVOLTĂRII, LUCRĂRILOR PUBLICE ȘI ADMINISTRAȚIEI</w:t>
            </w:r>
          </w:p>
          <w:p w14:paraId="6D9FDDAB" w14:textId="267E8902" w:rsidR="009B5F39" w:rsidRPr="00E94A2C" w:rsidRDefault="009B5F39" w:rsidP="009B5F39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4866" w:type="dxa"/>
          </w:tcPr>
          <w:p w14:paraId="0BC29C4E" w14:textId="77777777" w:rsidR="00E67E90" w:rsidRPr="00E94A2C" w:rsidRDefault="00E67E90" w:rsidP="00E67E90">
            <w:pPr>
              <w:spacing w:after="120"/>
              <w:jc w:val="center"/>
              <w:rPr>
                <w:b/>
                <w:bCs/>
              </w:rPr>
            </w:pPr>
            <w:r w:rsidRPr="00E94A2C">
              <w:rPr>
                <w:b/>
                <w:bCs/>
              </w:rPr>
              <w:t>MINISTRUL JUSTIȚIEI</w:t>
            </w:r>
          </w:p>
          <w:p w14:paraId="2907CD74" w14:textId="0DDC5100" w:rsidR="009B5F39" w:rsidRDefault="009B5F39" w:rsidP="004F181F">
            <w:pPr>
              <w:spacing w:after="120"/>
              <w:jc w:val="center"/>
              <w:rPr>
                <w:b/>
                <w:bCs/>
              </w:rPr>
            </w:pPr>
          </w:p>
        </w:tc>
      </w:tr>
      <w:tr w:rsidR="009B5F39" w14:paraId="3638DE41" w14:textId="77777777" w:rsidTr="00920A4A">
        <w:tc>
          <w:tcPr>
            <w:tcW w:w="4942" w:type="dxa"/>
          </w:tcPr>
          <w:p w14:paraId="0F3FC4F0" w14:textId="17BA7B50" w:rsidR="009B5F39" w:rsidRDefault="009B5F39" w:rsidP="009B5F39">
            <w:pPr>
              <w:spacing w:after="120"/>
              <w:jc w:val="center"/>
              <w:rPr>
                <w:b/>
                <w:bCs/>
              </w:rPr>
            </w:pPr>
            <w:r w:rsidRPr="00E94A2C">
              <w:rPr>
                <w:b/>
                <w:bCs/>
              </w:rPr>
              <w:t xml:space="preserve">Cseke ATTILA </w:t>
            </w:r>
          </w:p>
          <w:p w14:paraId="351F4826" w14:textId="77777777" w:rsidR="009B5F39" w:rsidRPr="00E94A2C" w:rsidRDefault="009B5F39" w:rsidP="009B5F39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4866" w:type="dxa"/>
          </w:tcPr>
          <w:p w14:paraId="0C1FACE7" w14:textId="5E490C7A" w:rsidR="009B5F39" w:rsidRDefault="00E67E90" w:rsidP="009B5F39">
            <w:pPr>
              <w:spacing w:after="120"/>
              <w:jc w:val="center"/>
              <w:rPr>
                <w:b/>
                <w:bCs/>
              </w:rPr>
            </w:pPr>
            <w:r w:rsidRPr="00E94A2C">
              <w:rPr>
                <w:b/>
                <w:bCs/>
              </w:rPr>
              <w:t xml:space="preserve">Marian </w:t>
            </w:r>
            <w:r>
              <w:rPr>
                <w:b/>
                <w:bCs/>
              </w:rPr>
              <w:t xml:space="preserve">- </w:t>
            </w:r>
            <w:r w:rsidRPr="00E94A2C">
              <w:rPr>
                <w:b/>
                <w:bCs/>
              </w:rPr>
              <w:t>Cătălin PREDOIU</w:t>
            </w:r>
          </w:p>
        </w:tc>
      </w:tr>
      <w:tr w:rsidR="009B5F39" w14:paraId="7A3DCE8C" w14:textId="77777777" w:rsidTr="00B34DCD">
        <w:tc>
          <w:tcPr>
            <w:tcW w:w="4942" w:type="dxa"/>
          </w:tcPr>
          <w:p w14:paraId="2630F9FF" w14:textId="08222220" w:rsidR="009B5F39" w:rsidRDefault="009B5F39" w:rsidP="009B5F39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4866" w:type="dxa"/>
          </w:tcPr>
          <w:p w14:paraId="3FF3778A" w14:textId="359CBCB2" w:rsidR="009B5F39" w:rsidRDefault="009B5F39" w:rsidP="00B34DCD">
            <w:pPr>
              <w:spacing w:after="120"/>
              <w:jc w:val="center"/>
              <w:rPr>
                <w:b/>
                <w:bCs/>
              </w:rPr>
            </w:pPr>
          </w:p>
        </w:tc>
      </w:tr>
      <w:tr w:rsidR="009B5F39" w14:paraId="71E9B169" w14:textId="77777777" w:rsidTr="00920A4A">
        <w:tc>
          <w:tcPr>
            <w:tcW w:w="4942" w:type="dxa"/>
          </w:tcPr>
          <w:p w14:paraId="34BF3EBD" w14:textId="08CAA3CF" w:rsidR="009B5F39" w:rsidRPr="00E94A2C" w:rsidRDefault="009B5F39" w:rsidP="00B34DCD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4866" w:type="dxa"/>
          </w:tcPr>
          <w:p w14:paraId="27D6AE4E" w14:textId="60FAFE49" w:rsidR="009B5F39" w:rsidRPr="009B5F39" w:rsidRDefault="009B5F39" w:rsidP="00B34DCD">
            <w:pPr>
              <w:spacing w:after="120"/>
              <w:jc w:val="center"/>
              <w:rPr>
                <w:b/>
                <w:bCs/>
              </w:rPr>
            </w:pPr>
          </w:p>
        </w:tc>
      </w:tr>
    </w:tbl>
    <w:p w14:paraId="38535925" w14:textId="77777777" w:rsidR="000F49DA" w:rsidRDefault="000F49DA" w:rsidP="00D06973">
      <w:pPr>
        <w:spacing w:after="120"/>
        <w:rPr>
          <w:b/>
          <w:bCs/>
        </w:rPr>
      </w:pPr>
    </w:p>
    <w:p w14:paraId="0436781A" w14:textId="77777777" w:rsidR="00D06973" w:rsidRPr="00D06973" w:rsidRDefault="00D06973" w:rsidP="00D06973"/>
    <w:p w14:paraId="72DECE04" w14:textId="77777777" w:rsidR="00D06973" w:rsidRPr="00D06973" w:rsidRDefault="00D06973" w:rsidP="00D06973"/>
    <w:p w14:paraId="558D294C" w14:textId="77777777" w:rsidR="00D06973" w:rsidRPr="00D06973" w:rsidRDefault="00D06973" w:rsidP="00D06973"/>
    <w:p w14:paraId="061D0711" w14:textId="77777777" w:rsidR="00D06973" w:rsidRPr="00D06973" w:rsidRDefault="00D06973" w:rsidP="00D06973"/>
    <w:p w14:paraId="2513B075" w14:textId="77777777" w:rsidR="00D06973" w:rsidRDefault="00D06973" w:rsidP="00D06973">
      <w:pPr>
        <w:rPr>
          <w:b/>
          <w:bCs/>
        </w:rPr>
      </w:pPr>
    </w:p>
    <w:p w14:paraId="16699141" w14:textId="42A0EE71" w:rsidR="00D15BA3" w:rsidRDefault="00D06973" w:rsidP="00D06973">
      <w:pPr>
        <w:tabs>
          <w:tab w:val="left" w:pos="3095"/>
        </w:tabs>
        <w:rPr>
          <w:b/>
        </w:rPr>
      </w:pPr>
      <w:r>
        <w:rPr>
          <w:b/>
          <w:bCs/>
        </w:rPr>
        <w:tab/>
      </w:r>
      <w:bookmarkEnd w:id="1"/>
    </w:p>
    <w:p w14:paraId="3F0E866E" w14:textId="77777777" w:rsidR="000458AB" w:rsidRPr="000458AB" w:rsidRDefault="000458AB" w:rsidP="000458AB">
      <w:pPr>
        <w:tabs>
          <w:tab w:val="left" w:pos="195"/>
        </w:tabs>
        <w:spacing w:after="120"/>
        <w:jc w:val="center"/>
        <w:rPr>
          <w:b/>
        </w:rPr>
      </w:pPr>
    </w:p>
    <w:p w14:paraId="2620D11A" w14:textId="77777777" w:rsidR="00CC46D1" w:rsidRPr="000458AB" w:rsidRDefault="00CC46D1" w:rsidP="00286306">
      <w:pPr>
        <w:tabs>
          <w:tab w:val="left" w:pos="195"/>
        </w:tabs>
        <w:spacing w:after="120"/>
        <w:rPr>
          <w:color w:val="3C3C3C"/>
        </w:rPr>
      </w:pPr>
    </w:p>
    <w:sectPr w:rsidR="00CC46D1" w:rsidRPr="000458AB" w:rsidSect="008E1534">
      <w:footerReference w:type="even" r:id="rId8"/>
      <w:footerReference w:type="default" r:id="rId9"/>
      <w:pgSz w:w="12240" w:h="15840"/>
      <w:pgMar w:top="737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9FCF4" w14:textId="77777777" w:rsidR="00D602AB" w:rsidRDefault="00D602AB">
      <w:r>
        <w:separator/>
      </w:r>
    </w:p>
  </w:endnote>
  <w:endnote w:type="continuationSeparator" w:id="0">
    <w:p w14:paraId="55503FEC" w14:textId="77777777" w:rsidR="00D602AB" w:rsidRDefault="00D6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8418" w14:textId="77777777" w:rsidR="00EA23CB" w:rsidRDefault="00670C79" w:rsidP="00AC7A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733C72" w14:textId="77777777" w:rsidR="00EA23CB" w:rsidRDefault="00000000" w:rsidP="001C58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42F9A" w14:textId="77777777" w:rsidR="00EA23CB" w:rsidRDefault="00000000" w:rsidP="001C58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CE6CB" w14:textId="77777777" w:rsidR="00D602AB" w:rsidRDefault="00D602AB">
      <w:r>
        <w:separator/>
      </w:r>
    </w:p>
  </w:footnote>
  <w:footnote w:type="continuationSeparator" w:id="0">
    <w:p w14:paraId="3909E6E1" w14:textId="77777777" w:rsidR="00D602AB" w:rsidRDefault="00D60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C3AD9"/>
    <w:multiLevelType w:val="hybridMultilevel"/>
    <w:tmpl w:val="38C2D7AA"/>
    <w:lvl w:ilvl="0" w:tplc="92C04A28">
      <w:start w:val="2"/>
      <w:numFmt w:val="bullet"/>
      <w:lvlText w:val="-"/>
      <w:lvlJc w:val="left"/>
      <w:pPr>
        <w:ind w:left="779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" w15:restartNumberingAfterBreak="0">
    <w:nsid w:val="0BD465A5"/>
    <w:multiLevelType w:val="hybridMultilevel"/>
    <w:tmpl w:val="55CA82F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24B69"/>
    <w:multiLevelType w:val="hybridMultilevel"/>
    <w:tmpl w:val="AFA4C696"/>
    <w:lvl w:ilvl="0" w:tplc="04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10DA3863"/>
    <w:multiLevelType w:val="hybridMultilevel"/>
    <w:tmpl w:val="8F3EDD4E"/>
    <w:lvl w:ilvl="0" w:tplc="FF4228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4429"/>
    <w:multiLevelType w:val="hybridMultilevel"/>
    <w:tmpl w:val="1150A4A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12E46E06"/>
    <w:multiLevelType w:val="hybridMultilevel"/>
    <w:tmpl w:val="506244A8"/>
    <w:lvl w:ilvl="0" w:tplc="92C04A28">
      <w:start w:val="2"/>
      <w:numFmt w:val="bullet"/>
      <w:lvlText w:val="-"/>
      <w:lvlJc w:val="left"/>
      <w:pPr>
        <w:ind w:left="779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52885"/>
    <w:multiLevelType w:val="hybridMultilevel"/>
    <w:tmpl w:val="228A6CCC"/>
    <w:lvl w:ilvl="0" w:tplc="788AA9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3487A"/>
    <w:multiLevelType w:val="hybridMultilevel"/>
    <w:tmpl w:val="76A40B7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E3BB0"/>
    <w:multiLevelType w:val="hybridMultilevel"/>
    <w:tmpl w:val="81C2583E"/>
    <w:lvl w:ilvl="0" w:tplc="0D6C67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B14E4"/>
    <w:multiLevelType w:val="hybridMultilevel"/>
    <w:tmpl w:val="5652E1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52AF1"/>
    <w:multiLevelType w:val="multilevel"/>
    <w:tmpl w:val="48A6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D1365F"/>
    <w:multiLevelType w:val="hybridMultilevel"/>
    <w:tmpl w:val="5764217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02D5A"/>
    <w:multiLevelType w:val="hybridMultilevel"/>
    <w:tmpl w:val="24CE5258"/>
    <w:lvl w:ilvl="0" w:tplc="DE4A5BC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D40AD"/>
    <w:multiLevelType w:val="hybridMultilevel"/>
    <w:tmpl w:val="EFF2C3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F2B95"/>
    <w:multiLevelType w:val="multilevel"/>
    <w:tmpl w:val="3E7209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EA631FA"/>
    <w:multiLevelType w:val="hybridMultilevel"/>
    <w:tmpl w:val="D68EB3A2"/>
    <w:lvl w:ilvl="0" w:tplc="EE562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53710"/>
    <w:multiLevelType w:val="hybridMultilevel"/>
    <w:tmpl w:val="D05AA9A2"/>
    <w:lvl w:ilvl="0" w:tplc="23E447B8">
      <w:start w:val="2"/>
      <w:numFmt w:val="bullet"/>
      <w:lvlText w:val="-"/>
      <w:lvlJc w:val="left"/>
      <w:pPr>
        <w:ind w:left="779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78AF1295"/>
    <w:multiLevelType w:val="hybridMultilevel"/>
    <w:tmpl w:val="0CF8F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149B5"/>
    <w:multiLevelType w:val="hybridMultilevel"/>
    <w:tmpl w:val="C32CF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87E24"/>
    <w:multiLevelType w:val="hybridMultilevel"/>
    <w:tmpl w:val="84C4FC1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0" w15:restartNumberingAfterBreak="0">
    <w:nsid w:val="7D9D565A"/>
    <w:multiLevelType w:val="hybridMultilevel"/>
    <w:tmpl w:val="7494B6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</w:abstractNum>
  <w:num w:numId="1" w16cid:durableId="1536889743">
    <w:abstractNumId w:val="1"/>
  </w:num>
  <w:num w:numId="2" w16cid:durableId="907181699">
    <w:abstractNumId w:val="19"/>
  </w:num>
  <w:num w:numId="3" w16cid:durableId="534080273">
    <w:abstractNumId w:val="15"/>
  </w:num>
  <w:num w:numId="4" w16cid:durableId="289677755">
    <w:abstractNumId w:val="3"/>
  </w:num>
  <w:num w:numId="5" w16cid:durableId="1222054256">
    <w:abstractNumId w:val="10"/>
  </w:num>
  <w:num w:numId="6" w16cid:durableId="1363628370">
    <w:abstractNumId w:val="18"/>
  </w:num>
  <w:num w:numId="7" w16cid:durableId="1977567907">
    <w:abstractNumId w:val="8"/>
  </w:num>
  <w:num w:numId="8" w16cid:durableId="5086378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329952">
    <w:abstractNumId w:val="17"/>
  </w:num>
  <w:num w:numId="10" w16cid:durableId="1258559144">
    <w:abstractNumId w:val="13"/>
  </w:num>
  <w:num w:numId="11" w16cid:durableId="403260543">
    <w:abstractNumId w:val="11"/>
  </w:num>
  <w:num w:numId="12" w16cid:durableId="2104641707">
    <w:abstractNumId w:val="7"/>
  </w:num>
  <w:num w:numId="13" w16cid:durableId="1533302302">
    <w:abstractNumId w:val="6"/>
  </w:num>
  <w:num w:numId="14" w16cid:durableId="1968465922">
    <w:abstractNumId w:val="9"/>
  </w:num>
  <w:num w:numId="15" w16cid:durableId="162823080">
    <w:abstractNumId w:val="2"/>
  </w:num>
  <w:num w:numId="16" w16cid:durableId="464590196">
    <w:abstractNumId w:val="16"/>
  </w:num>
  <w:num w:numId="17" w16cid:durableId="2126462169">
    <w:abstractNumId w:val="20"/>
  </w:num>
  <w:num w:numId="18" w16cid:durableId="370689575">
    <w:abstractNumId w:val="0"/>
  </w:num>
  <w:num w:numId="19" w16cid:durableId="1501388005">
    <w:abstractNumId w:val="5"/>
  </w:num>
  <w:num w:numId="20" w16cid:durableId="959141573">
    <w:abstractNumId w:val="4"/>
  </w:num>
  <w:num w:numId="21" w16cid:durableId="509487759">
    <w:abstractNumId w:val="12"/>
  </w:num>
  <w:num w:numId="22" w16cid:durableId="14923280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EA6"/>
    <w:rsid w:val="000019B6"/>
    <w:rsid w:val="00002E4A"/>
    <w:rsid w:val="000040A1"/>
    <w:rsid w:val="000042B4"/>
    <w:rsid w:val="00006F20"/>
    <w:rsid w:val="0000707B"/>
    <w:rsid w:val="0001318A"/>
    <w:rsid w:val="00013621"/>
    <w:rsid w:val="0001442E"/>
    <w:rsid w:val="000147C8"/>
    <w:rsid w:val="00014A37"/>
    <w:rsid w:val="000155D5"/>
    <w:rsid w:val="000160F3"/>
    <w:rsid w:val="000173F2"/>
    <w:rsid w:val="00017D04"/>
    <w:rsid w:val="00020122"/>
    <w:rsid w:val="00020EBB"/>
    <w:rsid w:val="0002169B"/>
    <w:rsid w:val="0002299E"/>
    <w:rsid w:val="00024F37"/>
    <w:rsid w:val="00025015"/>
    <w:rsid w:val="000260DD"/>
    <w:rsid w:val="000265F7"/>
    <w:rsid w:val="00026B13"/>
    <w:rsid w:val="00027469"/>
    <w:rsid w:val="00031D8D"/>
    <w:rsid w:val="0003205B"/>
    <w:rsid w:val="00034E58"/>
    <w:rsid w:val="00035D17"/>
    <w:rsid w:val="000369EF"/>
    <w:rsid w:val="000400DF"/>
    <w:rsid w:val="00040B7B"/>
    <w:rsid w:val="00043471"/>
    <w:rsid w:val="00043911"/>
    <w:rsid w:val="00044209"/>
    <w:rsid w:val="0004452D"/>
    <w:rsid w:val="000458AB"/>
    <w:rsid w:val="00046B44"/>
    <w:rsid w:val="000503A8"/>
    <w:rsid w:val="00053279"/>
    <w:rsid w:val="00054869"/>
    <w:rsid w:val="00054DF8"/>
    <w:rsid w:val="000563C0"/>
    <w:rsid w:val="00057629"/>
    <w:rsid w:val="00057995"/>
    <w:rsid w:val="00057EC8"/>
    <w:rsid w:val="00060E2F"/>
    <w:rsid w:val="00061E6F"/>
    <w:rsid w:val="0006216F"/>
    <w:rsid w:val="000626E3"/>
    <w:rsid w:val="00062BA0"/>
    <w:rsid w:val="0006409E"/>
    <w:rsid w:val="00064A6B"/>
    <w:rsid w:val="00064E28"/>
    <w:rsid w:val="00065A56"/>
    <w:rsid w:val="00070830"/>
    <w:rsid w:val="00072949"/>
    <w:rsid w:val="00073195"/>
    <w:rsid w:val="000733D3"/>
    <w:rsid w:val="000741A4"/>
    <w:rsid w:val="0007609F"/>
    <w:rsid w:val="00076C55"/>
    <w:rsid w:val="000808EE"/>
    <w:rsid w:val="00081475"/>
    <w:rsid w:val="000828E0"/>
    <w:rsid w:val="00083DB6"/>
    <w:rsid w:val="00083EAF"/>
    <w:rsid w:val="00084688"/>
    <w:rsid w:val="00084EE5"/>
    <w:rsid w:val="00084F56"/>
    <w:rsid w:val="00085904"/>
    <w:rsid w:val="00086114"/>
    <w:rsid w:val="00087383"/>
    <w:rsid w:val="00087C48"/>
    <w:rsid w:val="00090676"/>
    <w:rsid w:val="0009222E"/>
    <w:rsid w:val="00092376"/>
    <w:rsid w:val="0009320D"/>
    <w:rsid w:val="00094481"/>
    <w:rsid w:val="000949D2"/>
    <w:rsid w:val="00094AE3"/>
    <w:rsid w:val="00095300"/>
    <w:rsid w:val="0009621B"/>
    <w:rsid w:val="000A06E8"/>
    <w:rsid w:val="000A4289"/>
    <w:rsid w:val="000A437E"/>
    <w:rsid w:val="000A6298"/>
    <w:rsid w:val="000A71F1"/>
    <w:rsid w:val="000B036B"/>
    <w:rsid w:val="000B12C8"/>
    <w:rsid w:val="000B1818"/>
    <w:rsid w:val="000B391A"/>
    <w:rsid w:val="000B3D76"/>
    <w:rsid w:val="000B4945"/>
    <w:rsid w:val="000B4DE0"/>
    <w:rsid w:val="000B55D8"/>
    <w:rsid w:val="000B650E"/>
    <w:rsid w:val="000B665D"/>
    <w:rsid w:val="000B7506"/>
    <w:rsid w:val="000B753E"/>
    <w:rsid w:val="000C0FD5"/>
    <w:rsid w:val="000C3277"/>
    <w:rsid w:val="000C3586"/>
    <w:rsid w:val="000C3625"/>
    <w:rsid w:val="000C4A4F"/>
    <w:rsid w:val="000C54A4"/>
    <w:rsid w:val="000C614B"/>
    <w:rsid w:val="000C7D63"/>
    <w:rsid w:val="000C7EAF"/>
    <w:rsid w:val="000C7EEC"/>
    <w:rsid w:val="000D0889"/>
    <w:rsid w:val="000D23B9"/>
    <w:rsid w:val="000D2B20"/>
    <w:rsid w:val="000D315E"/>
    <w:rsid w:val="000D3B76"/>
    <w:rsid w:val="000D403B"/>
    <w:rsid w:val="000D4132"/>
    <w:rsid w:val="000D4C09"/>
    <w:rsid w:val="000E0EA4"/>
    <w:rsid w:val="000E12A6"/>
    <w:rsid w:val="000E2137"/>
    <w:rsid w:val="000E2C2D"/>
    <w:rsid w:val="000E307E"/>
    <w:rsid w:val="000E3A58"/>
    <w:rsid w:val="000E6FCF"/>
    <w:rsid w:val="000E74F5"/>
    <w:rsid w:val="000F26C2"/>
    <w:rsid w:val="000F40EF"/>
    <w:rsid w:val="000F49DA"/>
    <w:rsid w:val="000F5ED0"/>
    <w:rsid w:val="000F6105"/>
    <w:rsid w:val="000F7896"/>
    <w:rsid w:val="00100251"/>
    <w:rsid w:val="0010193D"/>
    <w:rsid w:val="00101A9B"/>
    <w:rsid w:val="001023B0"/>
    <w:rsid w:val="0010482B"/>
    <w:rsid w:val="00105808"/>
    <w:rsid w:val="001067AA"/>
    <w:rsid w:val="00106FB3"/>
    <w:rsid w:val="00106FE8"/>
    <w:rsid w:val="00107736"/>
    <w:rsid w:val="00107740"/>
    <w:rsid w:val="001077E3"/>
    <w:rsid w:val="00107E28"/>
    <w:rsid w:val="00107FEC"/>
    <w:rsid w:val="001110C2"/>
    <w:rsid w:val="00112E9E"/>
    <w:rsid w:val="001147BA"/>
    <w:rsid w:val="0011501B"/>
    <w:rsid w:val="00115083"/>
    <w:rsid w:val="00115131"/>
    <w:rsid w:val="00115C24"/>
    <w:rsid w:val="00116343"/>
    <w:rsid w:val="00117E2C"/>
    <w:rsid w:val="00120466"/>
    <w:rsid w:val="00121CCC"/>
    <w:rsid w:val="001250F7"/>
    <w:rsid w:val="00125245"/>
    <w:rsid w:val="00126BBF"/>
    <w:rsid w:val="00130ADF"/>
    <w:rsid w:val="00131281"/>
    <w:rsid w:val="001313D8"/>
    <w:rsid w:val="0013230E"/>
    <w:rsid w:val="00133A3B"/>
    <w:rsid w:val="0013619D"/>
    <w:rsid w:val="0013676D"/>
    <w:rsid w:val="00137A13"/>
    <w:rsid w:val="001459BC"/>
    <w:rsid w:val="00145E66"/>
    <w:rsid w:val="00145FA5"/>
    <w:rsid w:val="0014608E"/>
    <w:rsid w:val="0014728C"/>
    <w:rsid w:val="001500EA"/>
    <w:rsid w:val="00152085"/>
    <w:rsid w:val="001528E8"/>
    <w:rsid w:val="00153B2A"/>
    <w:rsid w:val="0015446A"/>
    <w:rsid w:val="001544DC"/>
    <w:rsid w:val="001557C6"/>
    <w:rsid w:val="0015762E"/>
    <w:rsid w:val="00157B5B"/>
    <w:rsid w:val="00160148"/>
    <w:rsid w:val="00161A61"/>
    <w:rsid w:val="00164F79"/>
    <w:rsid w:val="00164FF3"/>
    <w:rsid w:val="00165A07"/>
    <w:rsid w:val="00165C92"/>
    <w:rsid w:val="00165D35"/>
    <w:rsid w:val="0016702F"/>
    <w:rsid w:val="0016785A"/>
    <w:rsid w:val="00167EF9"/>
    <w:rsid w:val="0017030A"/>
    <w:rsid w:val="00170D4E"/>
    <w:rsid w:val="00172493"/>
    <w:rsid w:val="00173986"/>
    <w:rsid w:val="0017630C"/>
    <w:rsid w:val="001776C1"/>
    <w:rsid w:val="00177CD3"/>
    <w:rsid w:val="00177EC3"/>
    <w:rsid w:val="00180B7B"/>
    <w:rsid w:val="00180DB8"/>
    <w:rsid w:val="00181323"/>
    <w:rsid w:val="0018173D"/>
    <w:rsid w:val="00181DB6"/>
    <w:rsid w:val="00183326"/>
    <w:rsid w:val="00186DF3"/>
    <w:rsid w:val="0019189C"/>
    <w:rsid w:val="001919CC"/>
    <w:rsid w:val="0019387C"/>
    <w:rsid w:val="00193EAC"/>
    <w:rsid w:val="001945C9"/>
    <w:rsid w:val="0019599B"/>
    <w:rsid w:val="00197BB2"/>
    <w:rsid w:val="00197C39"/>
    <w:rsid w:val="001A0854"/>
    <w:rsid w:val="001A0AEA"/>
    <w:rsid w:val="001A1AA3"/>
    <w:rsid w:val="001A1AE5"/>
    <w:rsid w:val="001A1D31"/>
    <w:rsid w:val="001A2A6E"/>
    <w:rsid w:val="001A374F"/>
    <w:rsid w:val="001A4420"/>
    <w:rsid w:val="001A78A0"/>
    <w:rsid w:val="001A7C31"/>
    <w:rsid w:val="001B1912"/>
    <w:rsid w:val="001B1AD6"/>
    <w:rsid w:val="001B22D1"/>
    <w:rsid w:val="001B23D0"/>
    <w:rsid w:val="001B2B36"/>
    <w:rsid w:val="001B3B27"/>
    <w:rsid w:val="001B45BE"/>
    <w:rsid w:val="001B4FE1"/>
    <w:rsid w:val="001B50AC"/>
    <w:rsid w:val="001B6DD8"/>
    <w:rsid w:val="001B7961"/>
    <w:rsid w:val="001C2D92"/>
    <w:rsid w:val="001C2EA5"/>
    <w:rsid w:val="001C33B5"/>
    <w:rsid w:val="001C3EF4"/>
    <w:rsid w:val="001C4735"/>
    <w:rsid w:val="001C55B8"/>
    <w:rsid w:val="001C6BF4"/>
    <w:rsid w:val="001C7510"/>
    <w:rsid w:val="001C7F48"/>
    <w:rsid w:val="001D0467"/>
    <w:rsid w:val="001D7448"/>
    <w:rsid w:val="001E058E"/>
    <w:rsid w:val="001E0BD4"/>
    <w:rsid w:val="001E0D0D"/>
    <w:rsid w:val="001E10D6"/>
    <w:rsid w:val="001E11B1"/>
    <w:rsid w:val="001E2092"/>
    <w:rsid w:val="001E236E"/>
    <w:rsid w:val="001E5470"/>
    <w:rsid w:val="001E5514"/>
    <w:rsid w:val="001E55B3"/>
    <w:rsid w:val="001E652B"/>
    <w:rsid w:val="001E69E4"/>
    <w:rsid w:val="001E6A4B"/>
    <w:rsid w:val="001E6C5A"/>
    <w:rsid w:val="001E708B"/>
    <w:rsid w:val="001E7255"/>
    <w:rsid w:val="001F045F"/>
    <w:rsid w:val="001F14A2"/>
    <w:rsid w:val="001F1E7E"/>
    <w:rsid w:val="001F418F"/>
    <w:rsid w:val="001F631C"/>
    <w:rsid w:val="001F6D5C"/>
    <w:rsid w:val="001F700D"/>
    <w:rsid w:val="001F7034"/>
    <w:rsid w:val="001F733F"/>
    <w:rsid w:val="00200720"/>
    <w:rsid w:val="00201B23"/>
    <w:rsid w:val="00210E9C"/>
    <w:rsid w:val="0021124B"/>
    <w:rsid w:val="00211627"/>
    <w:rsid w:val="002116FE"/>
    <w:rsid w:val="00211AF7"/>
    <w:rsid w:val="00213877"/>
    <w:rsid w:val="00213A75"/>
    <w:rsid w:val="00213BDB"/>
    <w:rsid w:val="00214287"/>
    <w:rsid w:val="0021538C"/>
    <w:rsid w:val="002153E2"/>
    <w:rsid w:val="00217238"/>
    <w:rsid w:val="00217BF3"/>
    <w:rsid w:val="00220BDB"/>
    <w:rsid w:val="00221301"/>
    <w:rsid w:val="00221987"/>
    <w:rsid w:val="00221B2B"/>
    <w:rsid w:val="00223491"/>
    <w:rsid w:val="00223AFB"/>
    <w:rsid w:val="002248CC"/>
    <w:rsid w:val="00225653"/>
    <w:rsid w:val="00227A62"/>
    <w:rsid w:val="0023075D"/>
    <w:rsid w:val="00230EAE"/>
    <w:rsid w:val="00231324"/>
    <w:rsid w:val="00231F26"/>
    <w:rsid w:val="00232ED4"/>
    <w:rsid w:val="00232F5B"/>
    <w:rsid w:val="0023360D"/>
    <w:rsid w:val="002337CA"/>
    <w:rsid w:val="00233A87"/>
    <w:rsid w:val="00233D49"/>
    <w:rsid w:val="0023404B"/>
    <w:rsid w:val="002348DD"/>
    <w:rsid w:val="00234AB0"/>
    <w:rsid w:val="00234B65"/>
    <w:rsid w:val="002354D3"/>
    <w:rsid w:val="00235F8D"/>
    <w:rsid w:val="002404DC"/>
    <w:rsid w:val="002404F7"/>
    <w:rsid w:val="00244CF8"/>
    <w:rsid w:val="00250216"/>
    <w:rsid w:val="00250C5C"/>
    <w:rsid w:val="00251605"/>
    <w:rsid w:val="0025491E"/>
    <w:rsid w:val="00256383"/>
    <w:rsid w:val="0025682E"/>
    <w:rsid w:val="00260E13"/>
    <w:rsid w:val="002623AD"/>
    <w:rsid w:val="00262462"/>
    <w:rsid w:val="0026264B"/>
    <w:rsid w:val="00262AAC"/>
    <w:rsid w:val="00262CFA"/>
    <w:rsid w:val="00263EF2"/>
    <w:rsid w:val="00265C90"/>
    <w:rsid w:val="00267571"/>
    <w:rsid w:val="00271A91"/>
    <w:rsid w:val="00271D4C"/>
    <w:rsid w:val="00271F6E"/>
    <w:rsid w:val="00272D53"/>
    <w:rsid w:val="0027308F"/>
    <w:rsid w:val="00273B5F"/>
    <w:rsid w:val="00275947"/>
    <w:rsid w:val="00275D3D"/>
    <w:rsid w:val="00276B03"/>
    <w:rsid w:val="0027750A"/>
    <w:rsid w:val="00280BAF"/>
    <w:rsid w:val="002819F6"/>
    <w:rsid w:val="00282E65"/>
    <w:rsid w:val="00283DDB"/>
    <w:rsid w:val="00284753"/>
    <w:rsid w:val="00286173"/>
    <w:rsid w:val="00286306"/>
    <w:rsid w:val="00286541"/>
    <w:rsid w:val="002869DC"/>
    <w:rsid w:val="00286DEC"/>
    <w:rsid w:val="00286F4A"/>
    <w:rsid w:val="00294152"/>
    <w:rsid w:val="0029430E"/>
    <w:rsid w:val="00294D46"/>
    <w:rsid w:val="00297544"/>
    <w:rsid w:val="002A409A"/>
    <w:rsid w:val="002A41C3"/>
    <w:rsid w:val="002A4A4D"/>
    <w:rsid w:val="002A721C"/>
    <w:rsid w:val="002A7775"/>
    <w:rsid w:val="002A7B24"/>
    <w:rsid w:val="002B2155"/>
    <w:rsid w:val="002B28B0"/>
    <w:rsid w:val="002B5204"/>
    <w:rsid w:val="002B583C"/>
    <w:rsid w:val="002B689E"/>
    <w:rsid w:val="002B7888"/>
    <w:rsid w:val="002C122C"/>
    <w:rsid w:val="002C129E"/>
    <w:rsid w:val="002C1C7F"/>
    <w:rsid w:val="002C3361"/>
    <w:rsid w:val="002C37C4"/>
    <w:rsid w:val="002C4610"/>
    <w:rsid w:val="002C5396"/>
    <w:rsid w:val="002C6EEE"/>
    <w:rsid w:val="002D2048"/>
    <w:rsid w:val="002D214D"/>
    <w:rsid w:val="002D3A08"/>
    <w:rsid w:val="002D3A2D"/>
    <w:rsid w:val="002D3CFD"/>
    <w:rsid w:val="002D516A"/>
    <w:rsid w:val="002D519D"/>
    <w:rsid w:val="002D63DE"/>
    <w:rsid w:val="002D6892"/>
    <w:rsid w:val="002E1C7B"/>
    <w:rsid w:val="002E20A6"/>
    <w:rsid w:val="002E22BC"/>
    <w:rsid w:val="002E3AFC"/>
    <w:rsid w:val="002E3BEE"/>
    <w:rsid w:val="002E5329"/>
    <w:rsid w:val="002E5723"/>
    <w:rsid w:val="002E5889"/>
    <w:rsid w:val="002E6018"/>
    <w:rsid w:val="002E6BA8"/>
    <w:rsid w:val="002E7997"/>
    <w:rsid w:val="002E7E37"/>
    <w:rsid w:val="002F01BF"/>
    <w:rsid w:val="002F0CE9"/>
    <w:rsid w:val="002F1A5E"/>
    <w:rsid w:val="002F2645"/>
    <w:rsid w:val="002F36E2"/>
    <w:rsid w:val="002F4425"/>
    <w:rsid w:val="002F5AEA"/>
    <w:rsid w:val="0030050A"/>
    <w:rsid w:val="00300E1C"/>
    <w:rsid w:val="003018E2"/>
    <w:rsid w:val="00302ADB"/>
    <w:rsid w:val="00302D6F"/>
    <w:rsid w:val="00302EF5"/>
    <w:rsid w:val="003034B1"/>
    <w:rsid w:val="00304361"/>
    <w:rsid w:val="00304748"/>
    <w:rsid w:val="00305061"/>
    <w:rsid w:val="0030581C"/>
    <w:rsid w:val="00305E5F"/>
    <w:rsid w:val="00306119"/>
    <w:rsid w:val="00310F95"/>
    <w:rsid w:val="00312439"/>
    <w:rsid w:val="003127E6"/>
    <w:rsid w:val="00312E6E"/>
    <w:rsid w:val="00312FF3"/>
    <w:rsid w:val="003138A1"/>
    <w:rsid w:val="00315CB8"/>
    <w:rsid w:val="00315E10"/>
    <w:rsid w:val="003178A2"/>
    <w:rsid w:val="003179ED"/>
    <w:rsid w:val="00320940"/>
    <w:rsid w:val="00320B83"/>
    <w:rsid w:val="00322480"/>
    <w:rsid w:val="00324260"/>
    <w:rsid w:val="00324785"/>
    <w:rsid w:val="00324938"/>
    <w:rsid w:val="00325165"/>
    <w:rsid w:val="00325BC3"/>
    <w:rsid w:val="003278FD"/>
    <w:rsid w:val="00330048"/>
    <w:rsid w:val="00330CA5"/>
    <w:rsid w:val="00331203"/>
    <w:rsid w:val="00332715"/>
    <w:rsid w:val="00332FEB"/>
    <w:rsid w:val="00333AB9"/>
    <w:rsid w:val="003357CA"/>
    <w:rsid w:val="00335C69"/>
    <w:rsid w:val="003411FB"/>
    <w:rsid w:val="00343C61"/>
    <w:rsid w:val="003456BD"/>
    <w:rsid w:val="00345C6D"/>
    <w:rsid w:val="0034765C"/>
    <w:rsid w:val="003543EA"/>
    <w:rsid w:val="003545B2"/>
    <w:rsid w:val="003547E5"/>
    <w:rsid w:val="0035521E"/>
    <w:rsid w:val="00355320"/>
    <w:rsid w:val="00355C12"/>
    <w:rsid w:val="00356457"/>
    <w:rsid w:val="003569BD"/>
    <w:rsid w:val="00357FC9"/>
    <w:rsid w:val="003605E7"/>
    <w:rsid w:val="0036135D"/>
    <w:rsid w:val="003628FB"/>
    <w:rsid w:val="00365A86"/>
    <w:rsid w:val="00365DE7"/>
    <w:rsid w:val="003668CF"/>
    <w:rsid w:val="00370E71"/>
    <w:rsid w:val="00373CF4"/>
    <w:rsid w:val="0037559F"/>
    <w:rsid w:val="00375B28"/>
    <w:rsid w:val="0037675E"/>
    <w:rsid w:val="00377E94"/>
    <w:rsid w:val="00381090"/>
    <w:rsid w:val="003813CF"/>
    <w:rsid w:val="00381CD7"/>
    <w:rsid w:val="003832B6"/>
    <w:rsid w:val="0038428D"/>
    <w:rsid w:val="00385BC3"/>
    <w:rsid w:val="003864F6"/>
    <w:rsid w:val="00390E31"/>
    <w:rsid w:val="00391737"/>
    <w:rsid w:val="0039344D"/>
    <w:rsid w:val="00393638"/>
    <w:rsid w:val="00396A04"/>
    <w:rsid w:val="00397170"/>
    <w:rsid w:val="00397570"/>
    <w:rsid w:val="003A3349"/>
    <w:rsid w:val="003A367D"/>
    <w:rsid w:val="003A404C"/>
    <w:rsid w:val="003A60A4"/>
    <w:rsid w:val="003A6698"/>
    <w:rsid w:val="003A7570"/>
    <w:rsid w:val="003A7CA2"/>
    <w:rsid w:val="003A7CC0"/>
    <w:rsid w:val="003B02B3"/>
    <w:rsid w:val="003B0C77"/>
    <w:rsid w:val="003B2329"/>
    <w:rsid w:val="003B3A2C"/>
    <w:rsid w:val="003B3F0B"/>
    <w:rsid w:val="003B424D"/>
    <w:rsid w:val="003B68CD"/>
    <w:rsid w:val="003B6E10"/>
    <w:rsid w:val="003B717D"/>
    <w:rsid w:val="003B7750"/>
    <w:rsid w:val="003C0028"/>
    <w:rsid w:val="003C1670"/>
    <w:rsid w:val="003C19BF"/>
    <w:rsid w:val="003C4492"/>
    <w:rsid w:val="003C4D24"/>
    <w:rsid w:val="003C56CF"/>
    <w:rsid w:val="003C6B82"/>
    <w:rsid w:val="003C6D3A"/>
    <w:rsid w:val="003D092D"/>
    <w:rsid w:val="003D4A34"/>
    <w:rsid w:val="003D6235"/>
    <w:rsid w:val="003D6279"/>
    <w:rsid w:val="003D64A9"/>
    <w:rsid w:val="003E080A"/>
    <w:rsid w:val="003E0917"/>
    <w:rsid w:val="003E1F52"/>
    <w:rsid w:val="003E2206"/>
    <w:rsid w:val="003E358F"/>
    <w:rsid w:val="003E5F45"/>
    <w:rsid w:val="003E5FF2"/>
    <w:rsid w:val="003E628B"/>
    <w:rsid w:val="003E7159"/>
    <w:rsid w:val="003F046A"/>
    <w:rsid w:val="003F08B7"/>
    <w:rsid w:val="003F10F8"/>
    <w:rsid w:val="003F4EA4"/>
    <w:rsid w:val="003F5CF6"/>
    <w:rsid w:val="003F6A14"/>
    <w:rsid w:val="003F6ACA"/>
    <w:rsid w:val="003F7AF4"/>
    <w:rsid w:val="0040003B"/>
    <w:rsid w:val="0040028C"/>
    <w:rsid w:val="004005AC"/>
    <w:rsid w:val="004007BE"/>
    <w:rsid w:val="00402A15"/>
    <w:rsid w:val="00403200"/>
    <w:rsid w:val="0040434F"/>
    <w:rsid w:val="00405F21"/>
    <w:rsid w:val="00406B07"/>
    <w:rsid w:val="00406E45"/>
    <w:rsid w:val="00406FBE"/>
    <w:rsid w:val="0041039C"/>
    <w:rsid w:val="004161CD"/>
    <w:rsid w:val="004162F1"/>
    <w:rsid w:val="0042197D"/>
    <w:rsid w:val="004248D9"/>
    <w:rsid w:val="00425D30"/>
    <w:rsid w:val="00426482"/>
    <w:rsid w:val="004268A6"/>
    <w:rsid w:val="00427CE2"/>
    <w:rsid w:val="00434D7D"/>
    <w:rsid w:val="004353EE"/>
    <w:rsid w:val="00435F83"/>
    <w:rsid w:val="004362A6"/>
    <w:rsid w:val="00440136"/>
    <w:rsid w:val="00440C85"/>
    <w:rsid w:val="0044348E"/>
    <w:rsid w:val="004449A8"/>
    <w:rsid w:val="004449F4"/>
    <w:rsid w:val="00445A50"/>
    <w:rsid w:val="00445B23"/>
    <w:rsid w:val="00446A81"/>
    <w:rsid w:val="00446B21"/>
    <w:rsid w:val="00446C51"/>
    <w:rsid w:val="004472F0"/>
    <w:rsid w:val="00451118"/>
    <w:rsid w:val="004516D9"/>
    <w:rsid w:val="004524AA"/>
    <w:rsid w:val="00452ED4"/>
    <w:rsid w:val="00454D72"/>
    <w:rsid w:val="004555DD"/>
    <w:rsid w:val="00455719"/>
    <w:rsid w:val="004561E9"/>
    <w:rsid w:val="004562CD"/>
    <w:rsid w:val="0045656F"/>
    <w:rsid w:val="00456611"/>
    <w:rsid w:val="004567C9"/>
    <w:rsid w:val="0046084F"/>
    <w:rsid w:val="00460CE3"/>
    <w:rsid w:val="00461DC3"/>
    <w:rsid w:val="0046279C"/>
    <w:rsid w:val="00462C37"/>
    <w:rsid w:val="00463434"/>
    <w:rsid w:val="00463E98"/>
    <w:rsid w:val="00464AED"/>
    <w:rsid w:val="0046568A"/>
    <w:rsid w:val="004701D5"/>
    <w:rsid w:val="00471399"/>
    <w:rsid w:val="004723F4"/>
    <w:rsid w:val="00473382"/>
    <w:rsid w:val="00473D2E"/>
    <w:rsid w:val="00473DA2"/>
    <w:rsid w:val="00474119"/>
    <w:rsid w:val="00475C30"/>
    <w:rsid w:val="004767DD"/>
    <w:rsid w:val="0047738F"/>
    <w:rsid w:val="00477DA1"/>
    <w:rsid w:val="004803F0"/>
    <w:rsid w:val="004806BE"/>
    <w:rsid w:val="00481A82"/>
    <w:rsid w:val="004841A2"/>
    <w:rsid w:val="00486DF5"/>
    <w:rsid w:val="00492D8F"/>
    <w:rsid w:val="00493464"/>
    <w:rsid w:val="004939DF"/>
    <w:rsid w:val="00495663"/>
    <w:rsid w:val="0049586B"/>
    <w:rsid w:val="00495918"/>
    <w:rsid w:val="00495B40"/>
    <w:rsid w:val="004A0CA7"/>
    <w:rsid w:val="004A2289"/>
    <w:rsid w:val="004A26E1"/>
    <w:rsid w:val="004A39EE"/>
    <w:rsid w:val="004A51ED"/>
    <w:rsid w:val="004A6FCC"/>
    <w:rsid w:val="004B13DF"/>
    <w:rsid w:val="004B1759"/>
    <w:rsid w:val="004B1ABD"/>
    <w:rsid w:val="004B23FC"/>
    <w:rsid w:val="004B254E"/>
    <w:rsid w:val="004B3C0A"/>
    <w:rsid w:val="004B3F38"/>
    <w:rsid w:val="004B64A6"/>
    <w:rsid w:val="004B6A0A"/>
    <w:rsid w:val="004B6FB3"/>
    <w:rsid w:val="004B7202"/>
    <w:rsid w:val="004B7CAD"/>
    <w:rsid w:val="004C0503"/>
    <w:rsid w:val="004C07F9"/>
    <w:rsid w:val="004C103A"/>
    <w:rsid w:val="004C1092"/>
    <w:rsid w:val="004C1338"/>
    <w:rsid w:val="004C7417"/>
    <w:rsid w:val="004D1B68"/>
    <w:rsid w:val="004D1FC0"/>
    <w:rsid w:val="004D210B"/>
    <w:rsid w:val="004D24D3"/>
    <w:rsid w:val="004D279E"/>
    <w:rsid w:val="004D27EE"/>
    <w:rsid w:val="004D5BA3"/>
    <w:rsid w:val="004D6ABC"/>
    <w:rsid w:val="004D7C17"/>
    <w:rsid w:val="004E1034"/>
    <w:rsid w:val="004E13AF"/>
    <w:rsid w:val="004E2CA0"/>
    <w:rsid w:val="004E40FD"/>
    <w:rsid w:val="004E4E79"/>
    <w:rsid w:val="004E5088"/>
    <w:rsid w:val="004E6B00"/>
    <w:rsid w:val="004E789F"/>
    <w:rsid w:val="004F0238"/>
    <w:rsid w:val="004F068D"/>
    <w:rsid w:val="004F0E4B"/>
    <w:rsid w:val="004F181F"/>
    <w:rsid w:val="004F1FFD"/>
    <w:rsid w:val="004F34E2"/>
    <w:rsid w:val="004F49AA"/>
    <w:rsid w:val="004F521A"/>
    <w:rsid w:val="004F551E"/>
    <w:rsid w:val="005005B8"/>
    <w:rsid w:val="0050109F"/>
    <w:rsid w:val="00505AF3"/>
    <w:rsid w:val="005066F6"/>
    <w:rsid w:val="00512539"/>
    <w:rsid w:val="00513E24"/>
    <w:rsid w:val="005144F0"/>
    <w:rsid w:val="0051503C"/>
    <w:rsid w:val="00515920"/>
    <w:rsid w:val="00515AD8"/>
    <w:rsid w:val="00515DE0"/>
    <w:rsid w:val="00520345"/>
    <w:rsid w:val="00520BE3"/>
    <w:rsid w:val="00520C0A"/>
    <w:rsid w:val="00522A8B"/>
    <w:rsid w:val="0052442F"/>
    <w:rsid w:val="00524BB2"/>
    <w:rsid w:val="00525FA8"/>
    <w:rsid w:val="00527866"/>
    <w:rsid w:val="00530AC8"/>
    <w:rsid w:val="0053145E"/>
    <w:rsid w:val="0053190B"/>
    <w:rsid w:val="0053303E"/>
    <w:rsid w:val="005338D3"/>
    <w:rsid w:val="00533DD2"/>
    <w:rsid w:val="00533E19"/>
    <w:rsid w:val="005345B8"/>
    <w:rsid w:val="0053558D"/>
    <w:rsid w:val="0053559E"/>
    <w:rsid w:val="0053566B"/>
    <w:rsid w:val="00536CD0"/>
    <w:rsid w:val="00540381"/>
    <w:rsid w:val="00542411"/>
    <w:rsid w:val="00543A0A"/>
    <w:rsid w:val="005444AB"/>
    <w:rsid w:val="00546B5F"/>
    <w:rsid w:val="005514F5"/>
    <w:rsid w:val="00552EB0"/>
    <w:rsid w:val="00553A09"/>
    <w:rsid w:val="005546BE"/>
    <w:rsid w:val="00554716"/>
    <w:rsid w:val="0055520F"/>
    <w:rsid w:val="00555D3D"/>
    <w:rsid w:val="00561803"/>
    <w:rsid w:val="005621C5"/>
    <w:rsid w:val="00562652"/>
    <w:rsid w:val="0056358F"/>
    <w:rsid w:val="005649C0"/>
    <w:rsid w:val="00565752"/>
    <w:rsid w:val="00566969"/>
    <w:rsid w:val="00566EBF"/>
    <w:rsid w:val="00571569"/>
    <w:rsid w:val="00574C6C"/>
    <w:rsid w:val="00575BCE"/>
    <w:rsid w:val="0057730A"/>
    <w:rsid w:val="00577623"/>
    <w:rsid w:val="00580AD7"/>
    <w:rsid w:val="0058155C"/>
    <w:rsid w:val="00582047"/>
    <w:rsid w:val="00583D6C"/>
    <w:rsid w:val="00584568"/>
    <w:rsid w:val="00584995"/>
    <w:rsid w:val="00584BC8"/>
    <w:rsid w:val="00586890"/>
    <w:rsid w:val="00587B19"/>
    <w:rsid w:val="00591469"/>
    <w:rsid w:val="00595C2D"/>
    <w:rsid w:val="005966F6"/>
    <w:rsid w:val="0059789A"/>
    <w:rsid w:val="00597910"/>
    <w:rsid w:val="00597A47"/>
    <w:rsid w:val="005A133E"/>
    <w:rsid w:val="005A13C5"/>
    <w:rsid w:val="005A1D6C"/>
    <w:rsid w:val="005A2F37"/>
    <w:rsid w:val="005A2FF2"/>
    <w:rsid w:val="005A47ED"/>
    <w:rsid w:val="005A506E"/>
    <w:rsid w:val="005A5A3E"/>
    <w:rsid w:val="005A5D29"/>
    <w:rsid w:val="005A60EA"/>
    <w:rsid w:val="005A7989"/>
    <w:rsid w:val="005B02AB"/>
    <w:rsid w:val="005B17BE"/>
    <w:rsid w:val="005B18ED"/>
    <w:rsid w:val="005B1F10"/>
    <w:rsid w:val="005B31F7"/>
    <w:rsid w:val="005B3992"/>
    <w:rsid w:val="005B3C0A"/>
    <w:rsid w:val="005B58FF"/>
    <w:rsid w:val="005B68C3"/>
    <w:rsid w:val="005B716F"/>
    <w:rsid w:val="005C0A51"/>
    <w:rsid w:val="005C15C6"/>
    <w:rsid w:val="005C204E"/>
    <w:rsid w:val="005C22D6"/>
    <w:rsid w:val="005C2F53"/>
    <w:rsid w:val="005C4620"/>
    <w:rsid w:val="005C5DD4"/>
    <w:rsid w:val="005D0029"/>
    <w:rsid w:val="005D05C7"/>
    <w:rsid w:val="005D2EED"/>
    <w:rsid w:val="005D33F6"/>
    <w:rsid w:val="005D3847"/>
    <w:rsid w:val="005D4320"/>
    <w:rsid w:val="005D4B0F"/>
    <w:rsid w:val="005D4F6E"/>
    <w:rsid w:val="005D66B3"/>
    <w:rsid w:val="005D6B6E"/>
    <w:rsid w:val="005D6D1F"/>
    <w:rsid w:val="005E24DC"/>
    <w:rsid w:val="005E28B9"/>
    <w:rsid w:val="005E318B"/>
    <w:rsid w:val="005E34BD"/>
    <w:rsid w:val="005E4758"/>
    <w:rsid w:val="005E494D"/>
    <w:rsid w:val="005E662E"/>
    <w:rsid w:val="005E6BD7"/>
    <w:rsid w:val="005E71B7"/>
    <w:rsid w:val="005E72DA"/>
    <w:rsid w:val="005F0A45"/>
    <w:rsid w:val="005F0EF5"/>
    <w:rsid w:val="005F27A0"/>
    <w:rsid w:val="005F2815"/>
    <w:rsid w:val="005F2FEA"/>
    <w:rsid w:val="005F3CF4"/>
    <w:rsid w:val="005F6E40"/>
    <w:rsid w:val="00601913"/>
    <w:rsid w:val="0060421A"/>
    <w:rsid w:val="00605B74"/>
    <w:rsid w:val="006068F3"/>
    <w:rsid w:val="00611340"/>
    <w:rsid w:val="00611644"/>
    <w:rsid w:val="0061330D"/>
    <w:rsid w:val="00614970"/>
    <w:rsid w:val="00614E8C"/>
    <w:rsid w:val="00615AA1"/>
    <w:rsid w:val="00615FE9"/>
    <w:rsid w:val="006174FC"/>
    <w:rsid w:val="00617DB3"/>
    <w:rsid w:val="0062007D"/>
    <w:rsid w:val="0062262E"/>
    <w:rsid w:val="006234A3"/>
    <w:rsid w:val="00623B34"/>
    <w:rsid w:val="00623B3A"/>
    <w:rsid w:val="00624E3D"/>
    <w:rsid w:val="006259CC"/>
    <w:rsid w:val="0063003A"/>
    <w:rsid w:val="006306C6"/>
    <w:rsid w:val="006308CD"/>
    <w:rsid w:val="006314DE"/>
    <w:rsid w:val="00632A54"/>
    <w:rsid w:val="0063374E"/>
    <w:rsid w:val="00634816"/>
    <w:rsid w:val="00634CC1"/>
    <w:rsid w:val="00635197"/>
    <w:rsid w:val="0063636E"/>
    <w:rsid w:val="006363AA"/>
    <w:rsid w:val="0063758C"/>
    <w:rsid w:val="00637985"/>
    <w:rsid w:val="00642FB2"/>
    <w:rsid w:val="006435F4"/>
    <w:rsid w:val="00643DFD"/>
    <w:rsid w:val="0064474A"/>
    <w:rsid w:val="006449AD"/>
    <w:rsid w:val="00644A56"/>
    <w:rsid w:val="00644DAA"/>
    <w:rsid w:val="00645209"/>
    <w:rsid w:val="00646267"/>
    <w:rsid w:val="006467F1"/>
    <w:rsid w:val="00646A8A"/>
    <w:rsid w:val="00647401"/>
    <w:rsid w:val="0064777F"/>
    <w:rsid w:val="00647931"/>
    <w:rsid w:val="00650169"/>
    <w:rsid w:val="00652918"/>
    <w:rsid w:val="00652E1B"/>
    <w:rsid w:val="00652E45"/>
    <w:rsid w:val="00653F32"/>
    <w:rsid w:val="006556FA"/>
    <w:rsid w:val="00656BD4"/>
    <w:rsid w:val="00657250"/>
    <w:rsid w:val="006600DC"/>
    <w:rsid w:val="00660605"/>
    <w:rsid w:val="006622B7"/>
    <w:rsid w:val="00662E0D"/>
    <w:rsid w:val="0066383C"/>
    <w:rsid w:val="0066428B"/>
    <w:rsid w:val="00664C4E"/>
    <w:rsid w:val="00665BFE"/>
    <w:rsid w:val="00666DD4"/>
    <w:rsid w:val="00667019"/>
    <w:rsid w:val="00667DF5"/>
    <w:rsid w:val="00670C79"/>
    <w:rsid w:val="00670DA7"/>
    <w:rsid w:val="00671536"/>
    <w:rsid w:val="0067280E"/>
    <w:rsid w:val="0067373F"/>
    <w:rsid w:val="006737CE"/>
    <w:rsid w:val="00674168"/>
    <w:rsid w:val="00674D58"/>
    <w:rsid w:val="00674E7A"/>
    <w:rsid w:val="0067569B"/>
    <w:rsid w:val="00675773"/>
    <w:rsid w:val="00677B92"/>
    <w:rsid w:val="00680184"/>
    <w:rsid w:val="00680196"/>
    <w:rsid w:val="006801F0"/>
    <w:rsid w:val="006803EA"/>
    <w:rsid w:val="006813E4"/>
    <w:rsid w:val="00683D39"/>
    <w:rsid w:val="00685CA1"/>
    <w:rsid w:val="00687A8C"/>
    <w:rsid w:val="00693450"/>
    <w:rsid w:val="00695862"/>
    <w:rsid w:val="00695912"/>
    <w:rsid w:val="00696435"/>
    <w:rsid w:val="006964C3"/>
    <w:rsid w:val="00697C9C"/>
    <w:rsid w:val="006A53C9"/>
    <w:rsid w:val="006A7849"/>
    <w:rsid w:val="006A7DC9"/>
    <w:rsid w:val="006B0230"/>
    <w:rsid w:val="006B075E"/>
    <w:rsid w:val="006B0F3D"/>
    <w:rsid w:val="006B118A"/>
    <w:rsid w:val="006B135C"/>
    <w:rsid w:val="006B1B79"/>
    <w:rsid w:val="006C1EBB"/>
    <w:rsid w:val="006C3986"/>
    <w:rsid w:val="006C4F78"/>
    <w:rsid w:val="006C63AE"/>
    <w:rsid w:val="006C63C2"/>
    <w:rsid w:val="006C711B"/>
    <w:rsid w:val="006D07D6"/>
    <w:rsid w:val="006D09F8"/>
    <w:rsid w:val="006D0AC7"/>
    <w:rsid w:val="006D2138"/>
    <w:rsid w:val="006D37D0"/>
    <w:rsid w:val="006D46B5"/>
    <w:rsid w:val="006D4D2E"/>
    <w:rsid w:val="006D52AD"/>
    <w:rsid w:val="006D77A6"/>
    <w:rsid w:val="006E1DDD"/>
    <w:rsid w:val="006E48E4"/>
    <w:rsid w:val="006E4FBF"/>
    <w:rsid w:val="006E6287"/>
    <w:rsid w:val="006E718D"/>
    <w:rsid w:val="006E7C08"/>
    <w:rsid w:val="006F05C7"/>
    <w:rsid w:val="006F1E7B"/>
    <w:rsid w:val="006F1F12"/>
    <w:rsid w:val="006F28C3"/>
    <w:rsid w:val="006F2A8A"/>
    <w:rsid w:val="006F2CD2"/>
    <w:rsid w:val="006F2F9D"/>
    <w:rsid w:val="006F350D"/>
    <w:rsid w:val="006F4543"/>
    <w:rsid w:val="006F57C0"/>
    <w:rsid w:val="006F66B1"/>
    <w:rsid w:val="006F72EC"/>
    <w:rsid w:val="006F7D98"/>
    <w:rsid w:val="00701CB5"/>
    <w:rsid w:val="007050B8"/>
    <w:rsid w:val="00705F15"/>
    <w:rsid w:val="00707949"/>
    <w:rsid w:val="00707FC4"/>
    <w:rsid w:val="007101CD"/>
    <w:rsid w:val="007118D7"/>
    <w:rsid w:val="00712405"/>
    <w:rsid w:val="00713515"/>
    <w:rsid w:val="00720217"/>
    <w:rsid w:val="00721E13"/>
    <w:rsid w:val="00723488"/>
    <w:rsid w:val="00723783"/>
    <w:rsid w:val="00723AC4"/>
    <w:rsid w:val="00723BA7"/>
    <w:rsid w:val="00723E83"/>
    <w:rsid w:val="00724307"/>
    <w:rsid w:val="0072479B"/>
    <w:rsid w:val="00724EF9"/>
    <w:rsid w:val="0072598F"/>
    <w:rsid w:val="00725A79"/>
    <w:rsid w:val="007263F0"/>
    <w:rsid w:val="00726D70"/>
    <w:rsid w:val="00727AF1"/>
    <w:rsid w:val="00727BB5"/>
    <w:rsid w:val="00727F76"/>
    <w:rsid w:val="00730AD6"/>
    <w:rsid w:val="007314E7"/>
    <w:rsid w:val="00731E5D"/>
    <w:rsid w:val="00735154"/>
    <w:rsid w:val="007359E9"/>
    <w:rsid w:val="00736318"/>
    <w:rsid w:val="00737110"/>
    <w:rsid w:val="007419BA"/>
    <w:rsid w:val="00741AA7"/>
    <w:rsid w:val="00742BEF"/>
    <w:rsid w:val="00742E10"/>
    <w:rsid w:val="0074315A"/>
    <w:rsid w:val="007478F2"/>
    <w:rsid w:val="007527FA"/>
    <w:rsid w:val="00752B06"/>
    <w:rsid w:val="00757DD1"/>
    <w:rsid w:val="00757DFB"/>
    <w:rsid w:val="00757F29"/>
    <w:rsid w:val="007600AE"/>
    <w:rsid w:val="00760C9F"/>
    <w:rsid w:val="0076289B"/>
    <w:rsid w:val="00763CC1"/>
    <w:rsid w:val="007640CC"/>
    <w:rsid w:val="007642C7"/>
    <w:rsid w:val="00764804"/>
    <w:rsid w:val="007678A9"/>
    <w:rsid w:val="00770E01"/>
    <w:rsid w:val="00771F93"/>
    <w:rsid w:val="00774611"/>
    <w:rsid w:val="0077582F"/>
    <w:rsid w:val="00775875"/>
    <w:rsid w:val="00776F26"/>
    <w:rsid w:val="0078267A"/>
    <w:rsid w:val="0078437B"/>
    <w:rsid w:val="007843C5"/>
    <w:rsid w:val="00784848"/>
    <w:rsid w:val="00784A78"/>
    <w:rsid w:val="00784C56"/>
    <w:rsid w:val="00785492"/>
    <w:rsid w:val="00786699"/>
    <w:rsid w:val="007872E4"/>
    <w:rsid w:val="00787457"/>
    <w:rsid w:val="00787A65"/>
    <w:rsid w:val="007912A9"/>
    <w:rsid w:val="007928CE"/>
    <w:rsid w:val="00793B14"/>
    <w:rsid w:val="007949E0"/>
    <w:rsid w:val="00794CB0"/>
    <w:rsid w:val="00795327"/>
    <w:rsid w:val="00795ECB"/>
    <w:rsid w:val="00797A35"/>
    <w:rsid w:val="007A04F8"/>
    <w:rsid w:val="007A092D"/>
    <w:rsid w:val="007A20E4"/>
    <w:rsid w:val="007A28A7"/>
    <w:rsid w:val="007A294C"/>
    <w:rsid w:val="007A355E"/>
    <w:rsid w:val="007A3971"/>
    <w:rsid w:val="007A4087"/>
    <w:rsid w:val="007A506B"/>
    <w:rsid w:val="007A5914"/>
    <w:rsid w:val="007A5DF7"/>
    <w:rsid w:val="007B221D"/>
    <w:rsid w:val="007B301C"/>
    <w:rsid w:val="007B37F8"/>
    <w:rsid w:val="007B5C1D"/>
    <w:rsid w:val="007B66A7"/>
    <w:rsid w:val="007B6888"/>
    <w:rsid w:val="007C0667"/>
    <w:rsid w:val="007C16BF"/>
    <w:rsid w:val="007C358C"/>
    <w:rsid w:val="007C3CB1"/>
    <w:rsid w:val="007C5A40"/>
    <w:rsid w:val="007C6AC2"/>
    <w:rsid w:val="007C6C67"/>
    <w:rsid w:val="007D1532"/>
    <w:rsid w:val="007D26F6"/>
    <w:rsid w:val="007D383B"/>
    <w:rsid w:val="007D3AFC"/>
    <w:rsid w:val="007D59C7"/>
    <w:rsid w:val="007D5B0F"/>
    <w:rsid w:val="007D6BE6"/>
    <w:rsid w:val="007E2B3E"/>
    <w:rsid w:val="007E2F46"/>
    <w:rsid w:val="007E315C"/>
    <w:rsid w:val="007E6D8E"/>
    <w:rsid w:val="007E7000"/>
    <w:rsid w:val="007F14F5"/>
    <w:rsid w:val="007F2F33"/>
    <w:rsid w:val="007F7226"/>
    <w:rsid w:val="00800257"/>
    <w:rsid w:val="0080099F"/>
    <w:rsid w:val="0080159B"/>
    <w:rsid w:val="008022F0"/>
    <w:rsid w:val="008041B9"/>
    <w:rsid w:val="008042E9"/>
    <w:rsid w:val="0080435E"/>
    <w:rsid w:val="00805594"/>
    <w:rsid w:val="00806A0E"/>
    <w:rsid w:val="00810336"/>
    <w:rsid w:val="00812F1A"/>
    <w:rsid w:val="008147DC"/>
    <w:rsid w:val="00816500"/>
    <w:rsid w:val="00820027"/>
    <w:rsid w:val="008203AA"/>
    <w:rsid w:val="00820EC8"/>
    <w:rsid w:val="00821135"/>
    <w:rsid w:val="00821A2E"/>
    <w:rsid w:val="00821E21"/>
    <w:rsid w:val="008222DF"/>
    <w:rsid w:val="00822951"/>
    <w:rsid w:val="00823B75"/>
    <w:rsid w:val="00823B92"/>
    <w:rsid w:val="00824F0E"/>
    <w:rsid w:val="008259E4"/>
    <w:rsid w:val="00826EED"/>
    <w:rsid w:val="008270D0"/>
    <w:rsid w:val="008277D0"/>
    <w:rsid w:val="00830CBA"/>
    <w:rsid w:val="00831008"/>
    <w:rsid w:val="008311B3"/>
    <w:rsid w:val="00833990"/>
    <w:rsid w:val="008339F9"/>
    <w:rsid w:val="00833F5C"/>
    <w:rsid w:val="00834D8E"/>
    <w:rsid w:val="0083734C"/>
    <w:rsid w:val="00837BAB"/>
    <w:rsid w:val="00842DDA"/>
    <w:rsid w:val="00843606"/>
    <w:rsid w:val="008438F3"/>
    <w:rsid w:val="00843E24"/>
    <w:rsid w:val="008441CD"/>
    <w:rsid w:val="0084634B"/>
    <w:rsid w:val="0084657A"/>
    <w:rsid w:val="0084707D"/>
    <w:rsid w:val="00847EA6"/>
    <w:rsid w:val="00850946"/>
    <w:rsid w:val="008532C2"/>
    <w:rsid w:val="00854D8D"/>
    <w:rsid w:val="008561A7"/>
    <w:rsid w:val="00857F6E"/>
    <w:rsid w:val="00861263"/>
    <w:rsid w:val="00861374"/>
    <w:rsid w:val="008619CE"/>
    <w:rsid w:val="00862B66"/>
    <w:rsid w:val="00865B39"/>
    <w:rsid w:val="008705E3"/>
    <w:rsid w:val="00870635"/>
    <w:rsid w:val="008716D6"/>
    <w:rsid w:val="0087248D"/>
    <w:rsid w:val="00873608"/>
    <w:rsid w:val="00873E3D"/>
    <w:rsid w:val="008748CD"/>
    <w:rsid w:val="008750A7"/>
    <w:rsid w:val="008752C0"/>
    <w:rsid w:val="00875BCB"/>
    <w:rsid w:val="00876521"/>
    <w:rsid w:val="00880D07"/>
    <w:rsid w:val="00881537"/>
    <w:rsid w:val="00882C19"/>
    <w:rsid w:val="00883375"/>
    <w:rsid w:val="008838DB"/>
    <w:rsid w:val="0088623E"/>
    <w:rsid w:val="0089074E"/>
    <w:rsid w:val="008909E5"/>
    <w:rsid w:val="00890D08"/>
    <w:rsid w:val="00894593"/>
    <w:rsid w:val="00894A0A"/>
    <w:rsid w:val="00894B05"/>
    <w:rsid w:val="008955BC"/>
    <w:rsid w:val="008965DD"/>
    <w:rsid w:val="00896EE4"/>
    <w:rsid w:val="008975E9"/>
    <w:rsid w:val="00897F12"/>
    <w:rsid w:val="008A1CD6"/>
    <w:rsid w:val="008A2683"/>
    <w:rsid w:val="008A2707"/>
    <w:rsid w:val="008A2CEF"/>
    <w:rsid w:val="008A3EC9"/>
    <w:rsid w:val="008A44AD"/>
    <w:rsid w:val="008A45B5"/>
    <w:rsid w:val="008A4B30"/>
    <w:rsid w:val="008A5644"/>
    <w:rsid w:val="008A6377"/>
    <w:rsid w:val="008B186A"/>
    <w:rsid w:val="008B28FE"/>
    <w:rsid w:val="008B2AA3"/>
    <w:rsid w:val="008B33C1"/>
    <w:rsid w:val="008B4F8B"/>
    <w:rsid w:val="008B53D0"/>
    <w:rsid w:val="008B707D"/>
    <w:rsid w:val="008B7A75"/>
    <w:rsid w:val="008C1811"/>
    <w:rsid w:val="008C2535"/>
    <w:rsid w:val="008C2751"/>
    <w:rsid w:val="008C35AE"/>
    <w:rsid w:val="008C471E"/>
    <w:rsid w:val="008C6322"/>
    <w:rsid w:val="008C7047"/>
    <w:rsid w:val="008D050C"/>
    <w:rsid w:val="008D0751"/>
    <w:rsid w:val="008D18A2"/>
    <w:rsid w:val="008D3085"/>
    <w:rsid w:val="008D3488"/>
    <w:rsid w:val="008D498E"/>
    <w:rsid w:val="008D4B12"/>
    <w:rsid w:val="008E14AF"/>
    <w:rsid w:val="008E1534"/>
    <w:rsid w:val="008E3D03"/>
    <w:rsid w:val="008E43D1"/>
    <w:rsid w:val="008E48D1"/>
    <w:rsid w:val="008E534F"/>
    <w:rsid w:val="008E56F8"/>
    <w:rsid w:val="008E5C34"/>
    <w:rsid w:val="008E5DAF"/>
    <w:rsid w:val="008E61EE"/>
    <w:rsid w:val="008E64CB"/>
    <w:rsid w:val="008F06E5"/>
    <w:rsid w:val="008F0A61"/>
    <w:rsid w:val="008F29CC"/>
    <w:rsid w:val="008F2D62"/>
    <w:rsid w:val="008F32CD"/>
    <w:rsid w:val="008F3303"/>
    <w:rsid w:val="008F35A0"/>
    <w:rsid w:val="008F41E3"/>
    <w:rsid w:val="008F4914"/>
    <w:rsid w:val="008F6907"/>
    <w:rsid w:val="008F7D4B"/>
    <w:rsid w:val="009009A6"/>
    <w:rsid w:val="00901A7B"/>
    <w:rsid w:val="0090277D"/>
    <w:rsid w:val="00903653"/>
    <w:rsid w:val="0090418B"/>
    <w:rsid w:val="00905E05"/>
    <w:rsid w:val="009064F7"/>
    <w:rsid w:val="009079AE"/>
    <w:rsid w:val="00907A27"/>
    <w:rsid w:val="00907A95"/>
    <w:rsid w:val="00907AEA"/>
    <w:rsid w:val="00910134"/>
    <w:rsid w:val="00911BC0"/>
    <w:rsid w:val="0091403A"/>
    <w:rsid w:val="00915DA8"/>
    <w:rsid w:val="00916869"/>
    <w:rsid w:val="00916B41"/>
    <w:rsid w:val="009176B0"/>
    <w:rsid w:val="00920A4A"/>
    <w:rsid w:val="0092117E"/>
    <w:rsid w:val="00921879"/>
    <w:rsid w:val="009221FD"/>
    <w:rsid w:val="00922398"/>
    <w:rsid w:val="00923B3E"/>
    <w:rsid w:val="009240BF"/>
    <w:rsid w:val="0092665F"/>
    <w:rsid w:val="00926ABC"/>
    <w:rsid w:val="009276B0"/>
    <w:rsid w:val="00931AF0"/>
    <w:rsid w:val="009359F1"/>
    <w:rsid w:val="00935C77"/>
    <w:rsid w:val="00935D53"/>
    <w:rsid w:val="00936CC4"/>
    <w:rsid w:val="00937743"/>
    <w:rsid w:val="009377E2"/>
    <w:rsid w:val="009404CF"/>
    <w:rsid w:val="00944ABA"/>
    <w:rsid w:val="00946096"/>
    <w:rsid w:val="00947EA6"/>
    <w:rsid w:val="00953180"/>
    <w:rsid w:val="00954311"/>
    <w:rsid w:val="0095587D"/>
    <w:rsid w:val="00956192"/>
    <w:rsid w:val="009561EC"/>
    <w:rsid w:val="00957308"/>
    <w:rsid w:val="00965DE3"/>
    <w:rsid w:val="0096680B"/>
    <w:rsid w:val="0096681C"/>
    <w:rsid w:val="0096697E"/>
    <w:rsid w:val="00966D02"/>
    <w:rsid w:val="009678EA"/>
    <w:rsid w:val="00970361"/>
    <w:rsid w:val="00972192"/>
    <w:rsid w:val="00973701"/>
    <w:rsid w:val="00973B5C"/>
    <w:rsid w:val="00973DEE"/>
    <w:rsid w:val="00975D7D"/>
    <w:rsid w:val="00976515"/>
    <w:rsid w:val="00980148"/>
    <w:rsid w:val="00980800"/>
    <w:rsid w:val="009817E8"/>
    <w:rsid w:val="00981C86"/>
    <w:rsid w:val="00982B95"/>
    <w:rsid w:val="009833F1"/>
    <w:rsid w:val="00983417"/>
    <w:rsid w:val="00983CAC"/>
    <w:rsid w:val="00985495"/>
    <w:rsid w:val="0098549F"/>
    <w:rsid w:val="00985AB5"/>
    <w:rsid w:val="00987A22"/>
    <w:rsid w:val="00990092"/>
    <w:rsid w:val="00990429"/>
    <w:rsid w:val="0099350E"/>
    <w:rsid w:val="009958DC"/>
    <w:rsid w:val="00996E8E"/>
    <w:rsid w:val="009A06A1"/>
    <w:rsid w:val="009A41E8"/>
    <w:rsid w:val="009A56EE"/>
    <w:rsid w:val="009A665B"/>
    <w:rsid w:val="009A6CC6"/>
    <w:rsid w:val="009A76F9"/>
    <w:rsid w:val="009B23EA"/>
    <w:rsid w:val="009B3290"/>
    <w:rsid w:val="009B381E"/>
    <w:rsid w:val="009B5F39"/>
    <w:rsid w:val="009B71DC"/>
    <w:rsid w:val="009C238D"/>
    <w:rsid w:val="009C25D9"/>
    <w:rsid w:val="009C26EE"/>
    <w:rsid w:val="009C2752"/>
    <w:rsid w:val="009C2B24"/>
    <w:rsid w:val="009C2D1E"/>
    <w:rsid w:val="009C44A4"/>
    <w:rsid w:val="009C5EAE"/>
    <w:rsid w:val="009C6624"/>
    <w:rsid w:val="009C7327"/>
    <w:rsid w:val="009C7C05"/>
    <w:rsid w:val="009D01AB"/>
    <w:rsid w:val="009D0548"/>
    <w:rsid w:val="009D0E2C"/>
    <w:rsid w:val="009D1BA6"/>
    <w:rsid w:val="009D3CE2"/>
    <w:rsid w:val="009D4DAF"/>
    <w:rsid w:val="009D4F3B"/>
    <w:rsid w:val="009D5452"/>
    <w:rsid w:val="009D5A94"/>
    <w:rsid w:val="009D5F98"/>
    <w:rsid w:val="009D6969"/>
    <w:rsid w:val="009E05B3"/>
    <w:rsid w:val="009E1366"/>
    <w:rsid w:val="009E29C9"/>
    <w:rsid w:val="009E2EC4"/>
    <w:rsid w:val="009E3F6A"/>
    <w:rsid w:val="009E4949"/>
    <w:rsid w:val="009E5884"/>
    <w:rsid w:val="009E58ED"/>
    <w:rsid w:val="009E5BD8"/>
    <w:rsid w:val="009E6374"/>
    <w:rsid w:val="009E63F1"/>
    <w:rsid w:val="009E6591"/>
    <w:rsid w:val="009F03E0"/>
    <w:rsid w:val="009F06B0"/>
    <w:rsid w:val="009F22AF"/>
    <w:rsid w:val="009F2D68"/>
    <w:rsid w:val="009F327C"/>
    <w:rsid w:val="009F366F"/>
    <w:rsid w:val="009F4CAE"/>
    <w:rsid w:val="009F531D"/>
    <w:rsid w:val="009F54C3"/>
    <w:rsid w:val="009F799C"/>
    <w:rsid w:val="00A00346"/>
    <w:rsid w:val="00A0404B"/>
    <w:rsid w:val="00A0573C"/>
    <w:rsid w:val="00A06364"/>
    <w:rsid w:val="00A0637C"/>
    <w:rsid w:val="00A07A20"/>
    <w:rsid w:val="00A10C85"/>
    <w:rsid w:val="00A112E7"/>
    <w:rsid w:val="00A11B03"/>
    <w:rsid w:val="00A131FF"/>
    <w:rsid w:val="00A144E4"/>
    <w:rsid w:val="00A17529"/>
    <w:rsid w:val="00A17682"/>
    <w:rsid w:val="00A20532"/>
    <w:rsid w:val="00A20814"/>
    <w:rsid w:val="00A20D72"/>
    <w:rsid w:val="00A225D0"/>
    <w:rsid w:val="00A24686"/>
    <w:rsid w:val="00A25593"/>
    <w:rsid w:val="00A27068"/>
    <w:rsid w:val="00A2708A"/>
    <w:rsid w:val="00A27156"/>
    <w:rsid w:val="00A33017"/>
    <w:rsid w:val="00A33926"/>
    <w:rsid w:val="00A34796"/>
    <w:rsid w:val="00A35590"/>
    <w:rsid w:val="00A401BA"/>
    <w:rsid w:val="00A41AB4"/>
    <w:rsid w:val="00A4290C"/>
    <w:rsid w:val="00A42D45"/>
    <w:rsid w:val="00A42E84"/>
    <w:rsid w:val="00A44D23"/>
    <w:rsid w:val="00A503B1"/>
    <w:rsid w:val="00A52229"/>
    <w:rsid w:val="00A54F6C"/>
    <w:rsid w:val="00A56581"/>
    <w:rsid w:val="00A56AF1"/>
    <w:rsid w:val="00A60FAE"/>
    <w:rsid w:val="00A61B9E"/>
    <w:rsid w:val="00A61FCA"/>
    <w:rsid w:val="00A63839"/>
    <w:rsid w:val="00A64012"/>
    <w:rsid w:val="00A6445C"/>
    <w:rsid w:val="00A66115"/>
    <w:rsid w:val="00A6751F"/>
    <w:rsid w:val="00A70147"/>
    <w:rsid w:val="00A72DC5"/>
    <w:rsid w:val="00A73ACA"/>
    <w:rsid w:val="00A749BF"/>
    <w:rsid w:val="00A74CC6"/>
    <w:rsid w:val="00A75729"/>
    <w:rsid w:val="00A7580D"/>
    <w:rsid w:val="00A75A04"/>
    <w:rsid w:val="00A76B01"/>
    <w:rsid w:val="00A76DC3"/>
    <w:rsid w:val="00A77929"/>
    <w:rsid w:val="00A80E81"/>
    <w:rsid w:val="00A822B2"/>
    <w:rsid w:val="00A82648"/>
    <w:rsid w:val="00A82B71"/>
    <w:rsid w:val="00A83729"/>
    <w:rsid w:val="00A85D7B"/>
    <w:rsid w:val="00A87739"/>
    <w:rsid w:val="00A90503"/>
    <w:rsid w:val="00A93216"/>
    <w:rsid w:val="00A93F34"/>
    <w:rsid w:val="00A94B13"/>
    <w:rsid w:val="00A94D92"/>
    <w:rsid w:val="00A96794"/>
    <w:rsid w:val="00A96C0B"/>
    <w:rsid w:val="00A96D1B"/>
    <w:rsid w:val="00A97519"/>
    <w:rsid w:val="00A975CE"/>
    <w:rsid w:val="00A979ED"/>
    <w:rsid w:val="00A97F85"/>
    <w:rsid w:val="00AA0BC7"/>
    <w:rsid w:val="00AA203D"/>
    <w:rsid w:val="00AA279E"/>
    <w:rsid w:val="00AA2D93"/>
    <w:rsid w:val="00AA537E"/>
    <w:rsid w:val="00AA59A0"/>
    <w:rsid w:val="00AA60A6"/>
    <w:rsid w:val="00AA6FD4"/>
    <w:rsid w:val="00AB0812"/>
    <w:rsid w:val="00AB2920"/>
    <w:rsid w:val="00AB385C"/>
    <w:rsid w:val="00AB5512"/>
    <w:rsid w:val="00AC0A94"/>
    <w:rsid w:val="00AC1A4B"/>
    <w:rsid w:val="00AC3642"/>
    <w:rsid w:val="00AD0126"/>
    <w:rsid w:val="00AD01C2"/>
    <w:rsid w:val="00AD0FCB"/>
    <w:rsid w:val="00AD159C"/>
    <w:rsid w:val="00AD320D"/>
    <w:rsid w:val="00AD4DD2"/>
    <w:rsid w:val="00AE1333"/>
    <w:rsid w:val="00AE1D6E"/>
    <w:rsid w:val="00AE6FA7"/>
    <w:rsid w:val="00AE7035"/>
    <w:rsid w:val="00AE7757"/>
    <w:rsid w:val="00AF060E"/>
    <w:rsid w:val="00AF2D42"/>
    <w:rsid w:val="00AF34ED"/>
    <w:rsid w:val="00AF569A"/>
    <w:rsid w:val="00AF572D"/>
    <w:rsid w:val="00AF58C5"/>
    <w:rsid w:val="00AF5EEF"/>
    <w:rsid w:val="00AF79CB"/>
    <w:rsid w:val="00AF7F1E"/>
    <w:rsid w:val="00B012CD"/>
    <w:rsid w:val="00B01639"/>
    <w:rsid w:val="00B03B71"/>
    <w:rsid w:val="00B07D81"/>
    <w:rsid w:val="00B14129"/>
    <w:rsid w:val="00B147B1"/>
    <w:rsid w:val="00B15C71"/>
    <w:rsid w:val="00B166B5"/>
    <w:rsid w:val="00B174D2"/>
    <w:rsid w:val="00B17777"/>
    <w:rsid w:val="00B2097F"/>
    <w:rsid w:val="00B216CF"/>
    <w:rsid w:val="00B21946"/>
    <w:rsid w:val="00B22202"/>
    <w:rsid w:val="00B244DF"/>
    <w:rsid w:val="00B246B4"/>
    <w:rsid w:val="00B2491A"/>
    <w:rsid w:val="00B262C8"/>
    <w:rsid w:val="00B267FF"/>
    <w:rsid w:val="00B26DB6"/>
    <w:rsid w:val="00B3015E"/>
    <w:rsid w:val="00B30D09"/>
    <w:rsid w:val="00B34382"/>
    <w:rsid w:val="00B343D6"/>
    <w:rsid w:val="00B34C51"/>
    <w:rsid w:val="00B34DCD"/>
    <w:rsid w:val="00B3525C"/>
    <w:rsid w:val="00B36020"/>
    <w:rsid w:val="00B3735E"/>
    <w:rsid w:val="00B41404"/>
    <w:rsid w:val="00B41EA1"/>
    <w:rsid w:val="00B42A83"/>
    <w:rsid w:val="00B452A3"/>
    <w:rsid w:val="00B4537B"/>
    <w:rsid w:val="00B505F9"/>
    <w:rsid w:val="00B50E2D"/>
    <w:rsid w:val="00B510BF"/>
    <w:rsid w:val="00B523ED"/>
    <w:rsid w:val="00B5244A"/>
    <w:rsid w:val="00B52483"/>
    <w:rsid w:val="00B531AB"/>
    <w:rsid w:val="00B53C34"/>
    <w:rsid w:val="00B61FED"/>
    <w:rsid w:val="00B623C5"/>
    <w:rsid w:val="00B63CAB"/>
    <w:rsid w:val="00B651E4"/>
    <w:rsid w:val="00B65791"/>
    <w:rsid w:val="00B667A5"/>
    <w:rsid w:val="00B66A36"/>
    <w:rsid w:val="00B670F0"/>
    <w:rsid w:val="00B72438"/>
    <w:rsid w:val="00B72BAB"/>
    <w:rsid w:val="00B74559"/>
    <w:rsid w:val="00B7553E"/>
    <w:rsid w:val="00B76557"/>
    <w:rsid w:val="00B84534"/>
    <w:rsid w:val="00B84B9D"/>
    <w:rsid w:val="00B85489"/>
    <w:rsid w:val="00B87179"/>
    <w:rsid w:val="00B9048A"/>
    <w:rsid w:val="00B906E1"/>
    <w:rsid w:val="00B93B50"/>
    <w:rsid w:val="00B951FF"/>
    <w:rsid w:val="00BA000A"/>
    <w:rsid w:val="00BA0F40"/>
    <w:rsid w:val="00BA118B"/>
    <w:rsid w:val="00BA328B"/>
    <w:rsid w:val="00BA389E"/>
    <w:rsid w:val="00BA3D5F"/>
    <w:rsid w:val="00BA47F0"/>
    <w:rsid w:val="00BA4E0F"/>
    <w:rsid w:val="00BA7316"/>
    <w:rsid w:val="00BB0782"/>
    <w:rsid w:val="00BB0DE5"/>
    <w:rsid w:val="00BB1C7E"/>
    <w:rsid w:val="00BB2176"/>
    <w:rsid w:val="00BB2E04"/>
    <w:rsid w:val="00BB3000"/>
    <w:rsid w:val="00BB34E3"/>
    <w:rsid w:val="00BB5721"/>
    <w:rsid w:val="00BB60A2"/>
    <w:rsid w:val="00BB69DB"/>
    <w:rsid w:val="00BB6F82"/>
    <w:rsid w:val="00BB727F"/>
    <w:rsid w:val="00BC2BA2"/>
    <w:rsid w:val="00BC2ED4"/>
    <w:rsid w:val="00BC36B3"/>
    <w:rsid w:val="00BC6292"/>
    <w:rsid w:val="00BC6BCA"/>
    <w:rsid w:val="00BD0693"/>
    <w:rsid w:val="00BD08E5"/>
    <w:rsid w:val="00BD0CA8"/>
    <w:rsid w:val="00BD0CCE"/>
    <w:rsid w:val="00BD0F2D"/>
    <w:rsid w:val="00BD1014"/>
    <w:rsid w:val="00BD396E"/>
    <w:rsid w:val="00BD4914"/>
    <w:rsid w:val="00BD55B7"/>
    <w:rsid w:val="00BD659A"/>
    <w:rsid w:val="00BD78C6"/>
    <w:rsid w:val="00BD7AF5"/>
    <w:rsid w:val="00BD7F12"/>
    <w:rsid w:val="00BE0572"/>
    <w:rsid w:val="00BE0F0E"/>
    <w:rsid w:val="00BE20C3"/>
    <w:rsid w:val="00BE2331"/>
    <w:rsid w:val="00BE470D"/>
    <w:rsid w:val="00BE4A53"/>
    <w:rsid w:val="00BE5502"/>
    <w:rsid w:val="00BE7875"/>
    <w:rsid w:val="00BF0642"/>
    <w:rsid w:val="00BF1223"/>
    <w:rsid w:val="00BF1783"/>
    <w:rsid w:val="00BF21B1"/>
    <w:rsid w:val="00BF29AC"/>
    <w:rsid w:val="00BF4912"/>
    <w:rsid w:val="00BF4B8F"/>
    <w:rsid w:val="00C000FD"/>
    <w:rsid w:val="00C005BC"/>
    <w:rsid w:val="00C01DF1"/>
    <w:rsid w:val="00C04D83"/>
    <w:rsid w:val="00C10545"/>
    <w:rsid w:val="00C1070D"/>
    <w:rsid w:val="00C10B3B"/>
    <w:rsid w:val="00C11ECE"/>
    <w:rsid w:val="00C129DE"/>
    <w:rsid w:val="00C14BCD"/>
    <w:rsid w:val="00C150BB"/>
    <w:rsid w:val="00C15DDA"/>
    <w:rsid w:val="00C16B79"/>
    <w:rsid w:val="00C2099E"/>
    <w:rsid w:val="00C21244"/>
    <w:rsid w:val="00C224C0"/>
    <w:rsid w:val="00C22816"/>
    <w:rsid w:val="00C23CF0"/>
    <w:rsid w:val="00C249F4"/>
    <w:rsid w:val="00C31272"/>
    <w:rsid w:val="00C31BB5"/>
    <w:rsid w:val="00C34562"/>
    <w:rsid w:val="00C369F9"/>
    <w:rsid w:val="00C46D56"/>
    <w:rsid w:val="00C47AA5"/>
    <w:rsid w:val="00C51826"/>
    <w:rsid w:val="00C525CD"/>
    <w:rsid w:val="00C52A04"/>
    <w:rsid w:val="00C52C3A"/>
    <w:rsid w:val="00C52F58"/>
    <w:rsid w:val="00C53D12"/>
    <w:rsid w:val="00C5468F"/>
    <w:rsid w:val="00C551BE"/>
    <w:rsid w:val="00C55F9D"/>
    <w:rsid w:val="00C579D5"/>
    <w:rsid w:val="00C57FF1"/>
    <w:rsid w:val="00C60145"/>
    <w:rsid w:val="00C602BA"/>
    <w:rsid w:val="00C60414"/>
    <w:rsid w:val="00C60836"/>
    <w:rsid w:val="00C60B49"/>
    <w:rsid w:val="00C61564"/>
    <w:rsid w:val="00C6168E"/>
    <w:rsid w:val="00C61ABD"/>
    <w:rsid w:val="00C620EA"/>
    <w:rsid w:val="00C62223"/>
    <w:rsid w:val="00C63544"/>
    <w:rsid w:val="00C704CE"/>
    <w:rsid w:val="00C7148E"/>
    <w:rsid w:val="00C715BD"/>
    <w:rsid w:val="00C71C85"/>
    <w:rsid w:val="00C7228F"/>
    <w:rsid w:val="00C73CC7"/>
    <w:rsid w:val="00C752C7"/>
    <w:rsid w:val="00C76128"/>
    <w:rsid w:val="00C81B1F"/>
    <w:rsid w:val="00C82776"/>
    <w:rsid w:val="00C8303E"/>
    <w:rsid w:val="00C83C7F"/>
    <w:rsid w:val="00C84EC9"/>
    <w:rsid w:val="00C85731"/>
    <w:rsid w:val="00C8685C"/>
    <w:rsid w:val="00C86A4C"/>
    <w:rsid w:val="00C87826"/>
    <w:rsid w:val="00C900B9"/>
    <w:rsid w:val="00C902E6"/>
    <w:rsid w:val="00C9066A"/>
    <w:rsid w:val="00C90AE0"/>
    <w:rsid w:val="00C924A7"/>
    <w:rsid w:val="00C926AE"/>
    <w:rsid w:val="00C9400D"/>
    <w:rsid w:val="00C9595A"/>
    <w:rsid w:val="00CA0FE5"/>
    <w:rsid w:val="00CA1B3B"/>
    <w:rsid w:val="00CA5489"/>
    <w:rsid w:val="00CA560E"/>
    <w:rsid w:val="00CA5CC9"/>
    <w:rsid w:val="00CA633F"/>
    <w:rsid w:val="00CA723F"/>
    <w:rsid w:val="00CB09CE"/>
    <w:rsid w:val="00CB1B1A"/>
    <w:rsid w:val="00CB2A6E"/>
    <w:rsid w:val="00CB6C17"/>
    <w:rsid w:val="00CB7304"/>
    <w:rsid w:val="00CB7478"/>
    <w:rsid w:val="00CB78C4"/>
    <w:rsid w:val="00CC0897"/>
    <w:rsid w:val="00CC1CB4"/>
    <w:rsid w:val="00CC3478"/>
    <w:rsid w:val="00CC46D1"/>
    <w:rsid w:val="00CC6F6C"/>
    <w:rsid w:val="00CC74C7"/>
    <w:rsid w:val="00CC7A6B"/>
    <w:rsid w:val="00CC7D0A"/>
    <w:rsid w:val="00CD02AB"/>
    <w:rsid w:val="00CD13F8"/>
    <w:rsid w:val="00CD28D5"/>
    <w:rsid w:val="00CD2EA0"/>
    <w:rsid w:val="00CD330F"/>
    <w:rsid w:val="00CD4123"/>
    <w:rsid w:val="00CD6788"/>
    <w:rsid w:val="00CD681E"/>
    <w:rsid w:val="00CE11F6"/>
    <w:rsid w:val="00CE13C9"/>
    <w:rsid w:val="00CE2716"/>
    <w:rsid w:val="00CE2DFA"/>
    <w:rsid w:val="00CE2F2A"/>
    <w:rsid w:val="00CE43CE"/>
    <w:rsid w:val="00CE461E"/>
    <w:rsid w:val="00CE5178"/>
    <w:rsid w:val="00CE679C"/>
    <w:rsid w:val="00CE699E"/>
    <w:rsid w:val="00CE7B3A"/>
    <w:rsid w:val="00CF00D7"/>
    <w:rsid w:val="00CF01F6"/>
    <w:rsid w:val="00CF2960"/>
    <w:rsid w:val="00CF2C6A"/>
    <w:rsid w:val="00CF3D93"/>
    <w:rsid w:val="00CF5CDF"/>
    <w:rsid w:val="00CF6DC4"/>
    <w:rsid w:val="00CF76B3"/>
    <w:rsid w:val="00CF77BF"/>
    <w:rsid w:val="00CF7D07"/>
    <w:rsid w:val="00D00BE7"/>
    <w:rsid w:val="00D00D45"/>
    <w:rsid w:val="00D00E94"/>
    <w:rsid w:val="00D014F5"/>
    <w:rsid w:val="00D02ED9"/>
    <w:rsid w:val="00D03109"/>
    <w:rsid w:val="00D03A53"/>
    <w:rsid w:val="00D04219"/>
    <w:rsid w:val="00D042B9"/>
    <w:rsid w:val="00D0508F"/>
    <w:rsid w:val="00D05DDE"/>
    <w:rsid w:val="00D06973"/>
    <w:rsid w:val="00D075C8"/>
    <w:rsid w:val="00D100AF"/>
    <w:rsid w:val="00D100F6"/>
    <w:rsid w:val="00D11A4B"/>
    <w:rsid w:val="00D11A5E"/>
    <w:rsid w:val="00D13A8B"/>
    <w:rsid w:val="00D13C5A"/>
    <w:rsid w:val="00D14823"/>
    <w:rsid w:val="00D15BA3"/>
    <w:rsid w:val="00D17BFC"/>
    <w:rsid w:val="00D20302"/>
    <w:rsid w:val="00D21F05"/>
    <w:rsid w:val="00D24521"/>
    <w:rsid w:val="00D250E4"/>
    <w:rsid w:val="00D270E9"/>
    <w:rsid w:val="00D27C6F"/>
    <w:rsid w:val="00D30B66"/>
    <w:rsid w:val="00D31842"/>
    <w:rsid w:val="00D31C14"/>
    <w:rsid w:val="00D31DD3"/>
    <w:rsid w:val="00D32491"/>
    <w:rsid w:val="00D35098"/>
    <w:rsid w:val="00D36F00"/>
    <w:rsid w:val="00D404E2"/>
    <w:rsid w:val="00D40A25"/>
    <w:rsid w:val="00D42F42"/>
    <w:rsid w:val="00D43767"/>
    <w:rsid w:val="00D4461C"/>
    <w:rsid w:val="00D478F6"/>
    <w:rsid w:val="00D501A1"/>
    <w:rsid w:val="00D52251"/>
    <w:rsid w:val="00D5347B"/>
    <w:rsid w:val="00D5746A"/>
    <w:rsid w:val="00D602AB"/>
    <w:rsid w:val="00D60512"/>
    <w:rsid w:val="00D60B36"/>
    <w:rsid w:val="00D61D54"/>
    <w:rsid w:val="00D63754"/>
    <w:rsid w:val="00D63CCB"/>
    <w:rsid w:val="00D65446"/>
    <w:rsid w:val="00D65E59"/>
    <w:rsid w:val="00D67480"/>
    <w:rsid w:val="00D7055A"/>
    <w:rsid w:val="00D70A75"/>
    <w:rsid w:val="00D716F2"/>
    <w:rsid w:val="00D72A31"/>
    <w:rsid w:val="00D73D1F"/>
    <w:rsid w:val="00D7465B"/>
    <w:rsid w:val="00D76698"/>
    <w:rsid w:val="00D8203D"/>
    <w:rsid w:val="00D85741"/>
    <w:rsid w:val="00D903E2"/>
    <w:rsid w:val="00D9055C"/>
    <w:rsid w:val="00D90A45"/>
    <w:rsid w:val="00D90C50"/>
    <w:rsid w:val="00D90EA6"/>
    <w:rsid w:val="00D92F9F"/>
    <w:rsid w:val="00D93260"/>
    <w:rsid w:val="00D934F0"/>
    <w:rsid w:val="00D94754"/>
    <w:rsid w:val="00D94C5D"/>
    <w:rsid w:val="00D94C79"/>
    <w:rsid w:val="00D95E2C"/>
    <w:rsid w:val="00D97666"/>
    <w:rsid w:val="00D977EB"/>
    <w:rsid w:val="00DA3DF4"/>
    <w:rsid w:val="00DA48DA"/>
    <w:rsid w:val="00DA6976"/>
    <w:rsid w:val="00DA7ECA"/>
    <w:rsid w:val="00DB0169"/>
    <w:rsid w:val="00DB02E7"/>
    <w:rsid w:val="00DB0AC3"/>
    <w:rsid w:val="00DB19FF"/>
    <w:rsid w:val="00DB1F3F"/>
    <w:rsid w:val="00DB2168"/>
    <w:rsid w:val="00DB2200"/>
    <w:rsid w:val="00DB31BA"/>
    <w:rsid w:val="00DB41EA"/>
    <w:rsid w:val="00DB456B"/>
    <w:rsid w:val="00DB67FA"/>
    <w:rsid w:val="00DB6D2A"/>
    <w:rsid w:val="00DB6E4E"/>
    <w:rsid w:val="00DB715E"/>
    <w:rsid w:val="00DB71DB"/>
    <w:rsid w:val="00DC2152"/>
    <w:rsid w:val="00DC2FD9"/>
    <w:rsid w:val="00DC6060"/>
    <w:rsid w:val="00DC611C"/>
    <w:rsid w:val="00DC663A"/>
    <w:rsid w:val="00DC7E22"/>
    <w:rsid w:val="00DD0632"/>
    <w:rsid w:val="00DD2A09"/>
    <w:rsid w:val="00DD31EE"/>
    <w:rsid w:val="00DD3713"/>
    <w:rsid w:val="00DD3B2B"/>
    <w:rsid w:val="00DD3CB9"/>
    <w:rsid w:val="00DD4BFF"/>
    <w:rsid w:val="00DD50C3"/>
    <w:rsid w:val="00DD55D5"/>
    <w:rsid w:val="00DD590B"/>
    <w:rsid w:val="00DD5BC1"/>
    <w:rsid w:val="00DD6D36"/>
    <w:rsid w:val="00DE12BA"/>
    <w:rsid w:val="00DE48B9"/>
    <w:rsid w:val="00DE7345"/>
    <w:rsid w:val="00DE781D"/>
    <w:rsid w:val="00DF043F"/>
    <w:rsid w:val="00DF253B"/>
    <w:rsid w:val="00DF278B"/>
    <w:rsid w:val="00DF3D29"/>
    <w:rsid w:val="00DF6EFD"/>
    <w:rsid w:val="00DF742C"/>
    <w:rsid w:val="00DF7938"/>
    <w:rsid w:val="00E000E2"/>
    <w:rsid w:val="00E0045B"/>
    <w:rsid w:val="00E004DB"/>
    <w:rsid w:val="00E005C1"/>
    <w:rsid w:val="00E01B3E"/>
    <w:rsid w:val="00E01C97"/>
    <w:rsid w:val="00E020B4"/>
    <w:rsid w:val="00E028C6"/>
    <w:rsid w:val="00E03DFC"/>
    <w:rsid w:val="00E07299"/>
    <w:rsid w:val="00E10668"/>
    <w:rsid w:val="00E10987"/>
    <w:rsid w:val="00E10E9F"/>
    <w:rsid w:val="00E12162"/>
    <w:rsid w:val="00E1237D"/>
    <w:rsid w:val="00E1246C"/>
    <w:rsid w:val="00E142E5"/>
    <w:rsid w:val="00E15335"/>
    <w:rsid w:val="00E15FE2"/>
    <w:rsid w:val="00E17A0A"/>
    <w:rsid w:val="00E20973"/>
    <w:rsid w:val="00E20EAD"/>
    <w:rsid w:val="00E2114F"/>
    <w:rsid w:val="00E231B5"/>
    <w:rsid w:val="00E24FE7"/>
    <w:rsid w:val="00E26138"/>
    <w:rsid w:val="00E267E2"/>
    <w:rsid w:val="00E27D5F"/>
    <w:rsid w:val="00E303FF"/>
    <w:rsid w:val="00E32F77"/>
    <w:rsid w:val="00E33F31"/>
    <w:rsid w:val="00E349D2"/>
    <w:rsid w:val="00E35792"/>
    <w:rsid w:val="00E37B03"/>
    <w:rsid w:val="00E41838"/>
    <w:rsid w:val="00E429CC"/>
    <w:rsid w:val="00E44A2E"/>
    <w:rsid w:val="00E456B9"/>
    <w:rsid w:val="00E50BCC"/>
    <w:rsid w:val="00E51892"/>
    <w:rsid w:val="00E51C99"/>
    <w:rsid w:val="00E5267F"/>
    <w:rsid w:val="00E52E82"/>
    <w:rsid w:val="00E541DB"/>
    <w:rsid w:val="00E548F6"/>
    <w:rsid w:val="00E54F18"/>
    <w:rsid w:val="00E60E89"/>
    <w:rsid w:val="00E61936"/>
    <w:rsid w:val="00E62BA0"/>
    <w:rsid w:val="00E64002"/>
    <w:rsid w:val="00E65069"/>
    <w:rsid w:val="00E6615D"/>
    <w:rsid w:val="00E661DA"/>
    <w:rsid w:val="00E666A2"/>
    <w:rsid w:val="00E676F8"/>
    <w:rsid w:val="00E6795C"/>
    <w:rsid w:val="00E67E90"/>
    <w:rsid w:val="00E70CBD"/>
    <w:rsid w:val="00E70DC9"/>
    <w:rsid w:val="00E70FF3"/>
    <w:rsid w:val="00E723B5"/>
    <w:rsid w:val="00E72D9D"/>
    <w:rsid w:val="00E73A92"/>
    <w:rsid w:val="00E760AA"/>
    <w:rsid w:val="00E775D3"/>
    <w:rsid w:val="00E806D4"/>
    <w:rsid w:val="00E827E8"/>
    <w:rsid w:val="00E832F5"/>
    <w:rsid w:val="00E85FC6"/>
    <w:rsid w:val="00E86D1B"/>
    <w:rsid w:val="00E87DB5"/>
    <w:rsid w:val="00E92A8F"/>
    <w:rsid w:val="00E941CF"/>
    <w:rsid w:val="00E94A2C"/>
    <w:rsid w:val="00E963FB"/>
    <w:rsid w:val="00E975A8"/>
    <w:rsid w:val="00EA0275"/>
    <w:rsid w:val="00EA0A6C"/>
    <w:rsid w:val="00EA1299"/>
    <w:rsid w:val="00EA29A3"/>
    <w:rsid w:val="00EA543D"/>
    <w:rsid w:val="00EA71B1"/>
    <w:rsid w:val="00EA79F1"/>
    <w:rsid w:val="00EB025B"/>
    <w:rsid w:val="00EB198B"/>
    <w:rsid w:val="00EB2240"/>
    <w:rsid w:val="00EB38EF"/>
    <w:rsid w:val="00EB44C1"/>
    <w:rsid w:val="00EC15BB"/>
    <w:rsid w:val="00EC161A"/>
    <w:rsid w:val="00EC1F5C"/>
    <w:rsid w:val="00EC4E93"/>
    <w:rsid w:val="00EC6E0D"/>
    <w:rsid w:val="00ED006E"/>
    <w:rsid w:val="00ED0802"/>
    <w:rsid w:val="00ED4506"/>
    <w:rsid w:val="00ED5D29"/>
    <w:rsid w:val="00ED6EE3"/>
    <w:rsid w:val="00ED6F01"/>
    <w:rsid w:val="00EE1F28"/>
    <w:rsid w:val="00EE3505"/>
    <w:rsid w:val="00EE46DE"/>
    <w:rsid w:val="00EE49E8"/>
    <w:rsid w:val="00EE7541"/>
    <w:rsid w:val="00EE79AE"/>
    <w:rsid w:val="00EF067B"/>
    <w:rsid w:val="00EF0CD0"/>
    <w:rsid w:val="00EF284D"/>
    <w:rsid w:val="00EF2A2C"/>
    <w:rsid w:val="00EF30E5"/>
    <w:rsid w:val="00EF4272"/>
    <w:rsid w:val="00EF5746"/>
    <w:rsid w:val="00EF587D"/>
    <w:rsid w:val="00EF7A51"/>
    <w:rsid w:val="00EF7E66"/>
    <w:rsid w:val="00F0098C"/>
    <w:rsid w:val="00F00A43"/>
    <w:rsid w:val="00F01703"/>
    <w:rsid w:val="00F03628"/>
    <w:rsid w:val="00F03655"/>
    <w:rsid w:val="00F040F0"/>
    <w:rsid w:val="00F0470C"/>
    <w:rsid w:val="00F06A51"/>
    <w:rsid w:val="00F06D25"/>
    <w:rsid w:val="00F11E9E"/>
    <w:rsid w:val="00F13E52"/>
    <w:rsid w:val="00F1504E"/>
    <w:rsid w:val="00F1512E"/>
    <w:rsid w:val="00F206EA"/>
    <w:rsid w:val="00F220CE"/>
    <w:rsid w:val="00F22A02"/>
    <w:rsid w:val="00F232DE"/>
    <w:rsid w:val="00F24977"/>
    <w:rsid w:val="00F24B2C"/>
    <w:rsid w:val="00F26279"/>
    <w:rsid w:val="00F26E44"/>
    <w:rsid w:val="00F2705F"/>
    <w:rsid w:val="00F27C6C"/>
    <w:rsid w:val="00F30FCD"/>
    <w:rsid w:val="00F3336D"/>
    <w:rsid w:val="00F33BDF"/>
    <w:rsid w:val="00F34436"/>
    <w:rsid w:val="00F34A3D"/>
    <w:rsid w:val="00F3697B"/>
    <w:rsid w:val="00F3755A"/>
    <w:rsid w:val="00F37A62"/>
    <w:rsid w:val="00F4129B"/>
    <w:rsid w:val="00F43AF9"/>
    <w:rsid w:val="00F43F47"/>
    <w:rsid w:val="00F45473"/>
    <w:rsid w:val="00F45A78"/>
    <w:rsid w:val="00F468B8"/>
    <w:rsid w:val="00F470C3"/>
    <w:rsid w:val="00F51A9F"/>
    <w:rsid w:val="00F51DCB"/>
    <w:rsid w:val="00F52D4D"/>
    <w:rsid w:val="00F52E60"/>
    <w:rsid w:val="00F53732"/>
    <w:rsid w:val="00F537FA"/>
    <w:rsid w:val="00F618F1"/>
    <w:rsid w:val="00F62A1B"/>
    <w:rsid w:val="00F64457"/>
    <w:rsid w:val="00F650D3"/>
    <w:rsid w:val="00F6631B"/>
    <w:rsid w:val="00F6643C"/>
    <w:rsid w:val="00F666B0"/>
    <w:rsid w:val="00F7024F"/>
    <w:rsid w:val="00F714BD"/>
    <w:rsid w:val="00F72189"/>
    <w:rsid w:val="00F73219"/>
    <w:rsid w:val="00F73667"/>
    <w:rsid w:val="00F73D39"/>
    <w:rsid w:val="00F7454F"/>
    <w:rsid w:val="00F7637B"/>
    <w:rsid w:val="00F76BCF"/>
    <w:rsid w:val="00F77CF6"/>
    <w:rsid w:val="00F8335E"/>
    <w:rsid w:val="00F86559"/>
    <w:rsid w:val="00F87C10"/>
    <w:rsid w:val="00F91E8F"/>
    <w:rsid w:val="00F92280"/>
    <w:rsid w:val="00F9325A"/>
    <w:rsid w:val="00F940A7"/>
    <w:rsid w:val="00F941F9"/>
    <w:rsid w:val="00F943CE"/>
    <w:rsid w:val="00F9478D"/>
    <w:rsid w:val="00F97140"/>
    <w:rsid w:val="00FA062B"/>
    <w:rsid w:val="00FA0D5C"/>
    <w:rsid w:val="00FA1077"/>
    <w:rsid w:val="00FA1B27"/>
    <w:rsid w:val="00FA21AA"/>
    <w:rsid w:val="00FA2645"/>
    <w:rsid w:val="00FA47DC"/>
    <w:rsid w:val="00FA6179"/>
    <w:rsid w:val="00FA66DE"/>
    <w:rsid w:val="00FA6C94"/>
    <w:rsid w:val="00FA7CB6"/>
    <w:rsid w:val="00FB071A"/>
    <w:rsid w:val="00FB1A16"/>
    <w:rsid w:val="00FB1A1C"/>
    <w:rsid w:val="00FB1C59"/>
    <w:rsid w:val="00FB2692"/>
    <w:rsid w:val="00FB45DC"/>
    <w:rsid w:val="00FB5776"/>
    <w:rsid w:val="00FB5FAE"/>
    <w:rsid w:val="00FB676B"/>
    <w:rsid w:val="00FB743A"/>
    <w:rsid w:val="00FB75B2"/>
    <w:rsid w:val="00FB7FC4"/>
    <w:rsid w:val="00FC0303"/>
    <w:rsid w:val="00FC0557"/>
    <w:rsid w:val="00FC1267"/>
    <w:rsid w:val="00FC28C3"/>
    <w:rsid w:val="00FC430A"/>
    <w:rsid w:val="00FC458B"/>
    <w:rsid w:val="00FC5120"/>
    <w:rsid w:val="00FC5961"/>
    <w:rsid w:val="00FC5B64"/>
    <w:rsid w:val="00FC5F3D"/>
    <w:rsid w:val="00FD0D95"/>
    <w:rsid w:val="00FD3526"/>
    <w:rsid w:val="00FD44BB"/>
    <w:rsid w:val="00FD5713"/>
    <w:rsid w:val="00FD6CF0"/>
    <w:rsid w:val="00FD7CF9"/>
    <w:rsid w:val="00FE0185"/>
    <w:rsid w:val="00FE0DFF"/>
    <w:rsid w:val="00FE39A9"/>
    <w:rsid w:val="00FE4B86"/>
    <w:rsid w:val="00FE4FC0"/>
    <w:rsid w:val="00FE6A77"/>
    <w:rsid w:val="00FE70EE"/>
    <w:rsid w:val="00FF0E7A"/>
    <w:rsid w:val="00FF1D41"/>
    <w:rsid w:val="00FF2CC0"/>
    <w:rsid w:val="00FF2F4B"/>
    <w:rsid w:val="00FF4EC4"/>
    <w:rsid w:val="00FF587A"/>
    <w:rsid w:val="00FF6979"/>
    <w:rsid w:val="00FF6DCE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296567"/>
  <w15:docId w15:val="{1DE015DC-AA2F-4BB8-8C5B-D0ED2D4A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670C79"/>
    <w:pPr>
      <w:keepNext/>
      <w:spacing w:line="360" w:lineRule="auto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670C79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1D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6">
    <w:name w:val="heading 6"/>
    <w:basedOn w:val="Normal"/>
    <w:next w:val="Normal"/>
    <w:link w:val="Heading6Char"/>
    <w:qFormat/>
    <w:rsid w:val="00670C79"/>
    <w:pPr>
      <w:keepNext/>
      <w:spacing w:before="120" w:after="120" w:line="360" w:lineRule="auto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670C79"/>
    <w:rPr>
      <w:rFonts w:ascii="Times New Roman" w:eastAsia="Times New Roman" w:hAnsi="Times New Roman" w:cs="Times New Roman"/>
      <w:b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semiHidden/>
    <w:rsid w:val="00670C79"/>
    <w:pPr>
      <w:spacing w:before="120" w:after="120" w:line="360" w:lineRule="auto"/>
      <w:ind w:firstLine="357"/>
    </w:pPr>
    <w:rPr>
      <w:b/>
      <w:bCs/>
      <w:sz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70C79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paragraph" w:styleId="BodyText2">
    <w:name w:val="Body Text 2"/>
    <w:basedOn w:val="Normal"/>
    <w:link w:val="BodyText2Char"/>
    <w:semiHidden/>
    <w:rsid w:val="00670C79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Title">
    <w:name w:val="Title"/>
    <w:basedOn w:val="Normal"/>
    <w:link w:val="TitleChar"/>
    <w:qFormat/>
    <w:rsid w:val="00670C79"/>
    <w:pPr>
      <w:spacing w:line="360" w:lineRule="auto"/>
      <w:jc w:val="center"/>
    </w:pPr>
    <w:rPr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70C79"/>
    <w:rPr>
      <w:rFonts w:ascii="Times New Roman" w:eastAsia="Times New Roman" w:hAnsi="Times New Roman" w:cs="Times New Roman"/>
      <w:b/>
      <w:sz w:val="32"/>
      <w:szCs w:val="32"/>
      <w:lang w:val="ro-RO"/>
    </w:rPr>
  </w:style>
  <w:style w:type="paragraph" w:styleId="Footer">
    <w:name w:val="footer"/>
    <w:basedOn w:val="Normal"/>
    <w:link w:val="FooterChar"/>
    <w:uiPriority w:val="99"/>
    <w:rsid w:val="00670C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C7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670C79"/>
  </w:style>
  <w:style w:type="table" w:styleId="TableGrid">
    <w:name w:val="Table Grid"/>
    <w:basedOn w:val="TableNormal"/>
    <w:uiPriority w:val="59"/>
    <w:rsid w:val="00670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70C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0C79"/>
    <w:rPr>
      <w:rFonts w:ascii="Courier New" w:eastAsia="Times New Roman" w:hAnsi="Courier New" w:cs="Courier New"/>
      <w:sz w:val="20"/>
      <w:szCs w:val="20"/>
      <w:lang w:val="ro-RO" w:eastAsia="ro-RO"/>
    </w:rPr>
  </w:style>
  <w:style w:type="paragraph" w:styleId="NoSpacing">
    <w:name w:val="No Spacing"/>
    <w:link w:val="NoSpacingChar"/>
    <w:qFormat/>
    <w:rsid w:val="00966D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966D0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E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E0F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nhideWhenUsed/>
    <w:rsid w:val="00CE7B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7B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7B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B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C01DF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o-RO"/>
    </w:rPr>
  </w:style>
  <w:style w:type="paragraph" w:styleId="ListParagraph">
    <w:name w:val="List Paragraph"/>
    <w:aliases w:val="Normal bullet 2,List Paragraph1,List1,body 2,List Paragraph11,Listă colorată - Accentuare 11,Bullet,Citation List,Forth level"/>
    <w:basedOn w:val="Normal"/>
    <w:link w:val="ListParagraphChar"/>
    <w:uiPriority w:val="34"/>
    <w:qFormat/>
    <w:rsid w:val="00CD681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"/>
    <w:link w:val="ListParagraph"/>
    <w:uiPriority w:val="99"/>
    <w:locked/>
    <w:rsid w:val="009B71DC"/>
    <w:rPr>
      <w:sz w:val="24"/>
      <w:szCs w:val="24"/>
      <w:lang w:val="ro-RO"/>
    </w:rPr>
  </w:style>
  <w:style w:type="character" w:customStyle="1" w:styleId="ColorfulList-Accent1Char">
    <w:name w:val="Colorful List - Accent 1 Char"/>
    <w:link w:val="ColorfulList-Accent1"/>
    <w:uiPriority w:val="34"/>
    <w:locked/>
    <w:rsid w:val="009B71DC"/>
    <w:rPr>
      <w:noProof/>
      <w:sz w:val="24"/>
      <w:szCs w:val="24"/>
      <w:lang w:val="ro-RO"/>
    </w:rPr>
  </w:style>
  <w:style w:type="table" w:styleId="ColorfulList-Accent1">
    <w:name w:val="Colorful List Accent 1"/>
    <w:basedOn w:val="TableNormal"/>
    <w:link w:val="ColorfulList-Accent1Char"/>
    <w:uiPriority w:val="34"/>
    <w:rsid w:val="009B71DC"/>
    <w:pPr>
      <w:spacing w:after="0" w:line="240" w:lineRule="auto"/>
    </w:pPr>
    <w:rPr>
      <w:noProof/>
      <w:sz w:val="24"/>
      <w:szCs w:val="24"/>
      <w:lang w:val="ro-RO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BA47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7F0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panchor">
    <w:name w:val="panchor"/>
    <w:basedOn w:val="DefaultParagraphFont"/>
    <w:rsid w:val="00161A61"/>
  </w:style>
  <w:style w:type="character" w:styleId="Hyperlink">
    <w:name w:val="Hyperlink"/>
    <w:basedOn w:val="DefaultParagraphFont"/>
    <w:uiPriority w:val="99"/>
    <w:unhideWhenUsed/>
    <w:rsid w:val="001B7961"/>
    <w:rPr>
      <w:color w:val="0000FF"/>
      <w:u w:val="single"/>
    </w:rPr>
  </w:style>
  <w:style w:type="character" w:customStyle="1" w:styleId="slgi">
    <w:name w:val="s_lgi"/>
    <w:basedOn w:val="DefaultParagraphFont"/>
    <w:rsid w:val="00EF067B"/>
  </w:style>
  <w:style w:type="paragraph" w:styleId="Revision">
    <w:name w:val="Revision"/>
    <w:hidden/>
    <w:uiPriority w:val="99"/>
    <w:semiHidden/>
    <w:rsid w:val="00E51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357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61EC"/>
    <w:rPr>
      <w:color w:val="605E5C"/>
      <w:shd w:val="clear" w:color="auto" w:fill="E1DFDD"/>
    </w:rPr>
  </w:style>
  <w:style w:type="paragraph" w:customStyle="1" w:styleId="Default">
    <w:name w:val="Default"/>
    <w:rsid w:val="00406B0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3303E"/>
    <w:pPr>
      <w:spacing w:before="100" w:beforeAutospacing="1" w:after="100" w:afterAutospacing="1"/>
    </w:pPr>
    <w:rPr>
      <w:rFonts w:eastAsiaTheme="minorEastAsia"/>
      <w:lang w:eastAsia="ro-RO"/>
    </w:rPr>
  </w:style>
  <w:style w:type="character" w:styleId="Strong">
    <w:name w:val="Strong"/>
    <w:basedOn w:val="DefaultParagraphFont"/>
    <w:uiPriority w:val="22"/>
    <w:qFormat/>
    <w:rsid w:val="003E628B"/>
    <w:rPr>
      <w:b/>
      <w:bCs/>
    </w:rPr>
  </w:style>
  <w:style w:type="character" w:customStyle="1" w:styleId="muxgbd">
    <w:name w:val="muxgbd"/>
    <w:basedOn w:val="DefaultParagraphFont"/>
    <w:rsid w:val="003E6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5B692-FD6E-4CF5-8E51-BC0902A2E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1744</Words>
  <Characters>9947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IULIANA-MIHAELA CERNAZEANU</dc:creator>
  <cp:lastModifiedBy>Consuela Iacob</cp:lastModifiedBy>
  <cp:revision>7</cp:revision>
  <cp:lastPrinted>2023-01-26T07:03:00Z</cp:lastPrinted>
  <dcterms:created xsi:type="dcterms:W3CDTF">2023-01-26T06:54:00Z</dcterms:created>
  <dcterms:modified xsi:type="dcterms:W3CDTF">2023-02-03T10:01:00Z</dcterms:modified>
</cp:coreProperties>
</file>